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431165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448310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124460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147955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2880" w:right="140" w:hanging="2876"/>
        <w:spacing w:after="0" w:line="364" w:lineRule="auto"/>
        <w:tabs>
          <w:tab w:leader="none" w:pos="40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38" w:lineRule="exact"/>
        <w:rPr>
          <w:sz w:val="24"/>
          <w:szCs w:val="24"/>
          <w:color w:val="auto"/>
        </w:rPr>
      </w:pPr>
    </w:p>
    <w:p>
      <w:pPr>
        <w:jc w:val="center"/>
        <w:ind w:left="3440" w:right="160" w:hanging="3436"/>
        <w:spacing w:after="0" w:line="427" w:lineRule="auto"/>
        <w:tabs>
          <w:tab w:leader="none" w:pos="3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-15875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99060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9" w:lineRule="exact"/>
        <w:rPr>
          <w:sz w:val="24"/>
          <w:szCs w:val="24"/>
          <w:color w:val="auto"/>
        </w:rPr>
      </w:pPr>
    </w:p>
    <w:tbl>
      <w:tblPr>
        <w:tblLayout w:type="fixed"/>
        <w:tblInd w:w="460" w:type="dxa"/>
        <w:tblCellMar>
          <w:top w:w="0" w:type="dxa"/>
          <w:left w:w="0" w:type="dxa"/>
          <w:bottom w:w="0" w:type="dxa"/>
          <w:right w:w="0" w:type="dxa"/>
        </w:tblCellMar>
      </w:tblPr>
      <w:tr>
        <w:trPr>
          <w:trHeight w:val="214"/>
        </w:trPr>
        <w:tc>
          <w:tcPr>
            <w:tcW w:w="5120" w:type="dxa"/>
            <w:vAlign w:val="bottom"/>
          </w:tcPr>
          <w:p>
            <w:pPr>
              <w:jc w:val="center"/>
              <w:ind w:right="109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120" w:type="dxa"/>
            <w:vAlign w:val="bottom"/>
          </w:tcPr>
          <w:p>
            <w:pPr>
              <w:jc w:val="center"/>
              <w:ind w:right="1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jc w:val="center"/>
              <w:ind w:left="10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20" w:type="dxa"/>
            <w:vAlign w:val="bottom"/>
          </w:tcPr>
          <w:p>
            <w:pPr>
              <w:jc w:val="center"/>
              <w:ind w:right="10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5120" w:type="dxa"/>
            <w:vAlign w:val="bottom"/>
          </w:tcPr>
          <w:p>
            <w:pPr>
              <w:jc w:val="center"/>
              <w:ind w:right="107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280" w:type="dxa"/>
            <w:vAlign w:val="bottom"/>
          </w:tcPr>
          <w:p>
            <w:pPr>
              <w:spacing w:after="0"/>
              <w:rPr>
                <w:sz w:val="24"/>
                <w:szCs w:val="24"/>
                <w:color w:val="auto"/>
              </w:rPr>
            </w:pPr>
          </w:p>
        </w:tc>
      </w:tr>
      <w:tr>
        <w:trPr>
          <w:trHeight w:val="227"/>
        </w:trPr>
        <w:tc>
          <w:tcPr>
            <w:tcW w:w="5120" w:type="dxa"/>
            <w:vAlign w:val="bottom"/>
          </w:tcPr>
          <w:p>
            <w:pPr>
              <w:jc w:val="center"/>
              <w:ind w:right="107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120" w:type="dxa"/>
            <w:vAlign w:val="bottom"/>
          </w:tcPr>
          <w:p>
            <w:pPr>
              <w:jc w:val="center"/>
              <w:ind w:right="10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114300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3"/>
                <w:szCs w:val="13"/>
                <w:color w:val="auto"/>
              </w:rPr>
            </w:pPr>
          </w:p>
        </w:tc>
        <w:tc>
          <w:tcPr>
            <w:tcW w:w="19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80" w:type="dxa"/>
            <w:vAlign w:val="bottom"/>
          </w:tcPr>
          <w:p>
            <w:pPr>
              <w:spacing w:after="0"/>
              <w:rPr>
                <w:sz w:val="13"/>
                <w:szCs w:val="13"/>
                <w:color w:val="auto"/>
              </w:rPr>
            </w:pPr>
          </w:p>
        </w:tc>
        <w:tc>
          <w:tcPr>
            <w:tcW w:w="37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80" w:type="dxa"/>
            <w:vAlign w:val="bottom"/>
          </w:tcPr>
          <w:p>
            <w:pPr>
              <w:spacing w:after="0"/>
              <w:rPr>
                <w:sz w:val="15"/>
                <w:szCs w:val="15"/>
                <w:color w:val="auto"/>
              </w:rPr>
            </w:pPr>
          </w:p>
        </w:tc>
        <w:tc>
          <w:tcPr>
            <w:tcW w:w="37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$.01 per share</w:t>
            </w:r>
          </w:p>
        </w:tc>
        <w:tc>
          <w:tcPr>
            <w:tcW w:w="100" w:type="dxa"/>
            <w:vAlign w:val="bottom"/>
          </w:tcPr>
          <w:p>
            <w:pPr>
              <w:spacing w:after="0"/>
              <w:rPr>
                <w:sz w:val="20"/>
                <w:szCs w:val="20"/>
                <w:color w:val="auto"/>
              </w:rPr>
            </w:pPr>
          </w:p>
        </w:tc>
        <w:tc>
          <w:tcPr>
            <w:tcW w:w="19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MHH</w:t>
            </w:r>
          </w:p>
        </w:tc>
        <w:tc>
          <w:tcPr>
            <w:tcW w:w="180" w:type="dxa"/>
            <w:vAlign w:val="bottom"/>
          </w:tcPr>
          <w:p>
            <w:pPr>
              <w:spacing w:after="0"/>
              <w:rPr>
                <w:sz w:val="20"/>
                <w:szCs w:val="20"/>
                <w:color w:val="auto"/>
              </w:rPr>
            </w:pPr>
          </w:p>
        </w:tc>
        <w:tc>
          <w:tcPr>
            <w:tcW w:w="37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0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7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$.01 per share, outstanding as of October 30, 2026 was 12,029,183.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Pag</w:t>
            </w:r>
          </w:p>
        </w:tc>
        <w:tc>
          <w:tcPr>
            <w:tcW w:w="0" w:type="dxa"/>
            <w:vAlign w:val="bottom"/>
          </w:tcPr>
          <w:p>
            <w:pPr>
              <w:spacing w:after="0"/>
              <w:rPr>
                <w:sz w:val="1"/>
                <w:szCs w:val="1"/>
                <w:color w:val="auto"/>
              </w:rPr>
            </w:pPr>
          </w:p>
        </w:tc>
      </w:tr>
      <w:tr>
        <w:trPr>
          <w:trHeight w:val="173"/>
        </w:trPr>
        <w:tc>
          <w:tcPr>
            <w:tcW w:w="14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PART 1</w:t>
            </w:r>
          </w:p>
        </w:tc>
        <w:tc>
          <w:tcPr>
            <w:tcW w:w="85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560" w:type="dxa"/>
            <w:vAlign w:val="bottom"/>
            <w:gridSpan w:val="24"/>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22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80" w:type="dxa"/>
            <w:vAlign w:val="bottom"/>
            <w:gridSpan w:val="11"/>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and Nine Months Ended</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and Nine Months</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Ended September 30, 2026 and 2025</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gridSpan w:val="3"/>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as of September 30, 2026 and December 31, 2025</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 for the Three and Nine Months Ended</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for the Nine Months Ended September 30, 2026</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80" w:type="dxa"/>
            <w:vAlign w:val="bottom"/>
            <w:gridSpan w:val="5"/>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180" w:type="dxa"/>
            <w:vAlign w:val="bottom"/>
            <w:gridSpan w:val="7"/>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6760" w:type="dxa"/>
            <w:vAlign w:val="bottom"/>
            <w:gridSpan w:val="13"/>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PART II</w:t>
            </w:r>
          </w:p>
        </w:tc>
        <w:tc>
          <w:tcPr>
            <w:tcW w:w="1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6640" w:type="dxa"/>
            <w:vAlign w:val="bottom"/>
            <w:gridSpan w:val="12"/>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1.</w:t>
            </w:r>
          </w:p>
        </w:tc>
        <w:tc>
          <w:tcPr>
            <w:tcW w:w="8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4"/>
          </w:tcPr>
          <w:p>
            <w:pPr>
              <w:spacing w:after="0"/>
              <w:rPr>
                <w:sz w:val="24"/>
                <w:szCs w:val="24"/>
                <w:color w:val="auto"/>
              </w:rPr>
            </w:pPr>
          </w:p>
        </w:tc>
        <w:tc>
          <w:tcPr>
            <w:tcW w:w="7220" w:type="dxa"/>
            <w:vAlign w:val="bottom"/>
            <w:gridSpan w:val="16"/>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200" w:type="dxa"/>
            <w:vAlign w:val="bottom"/>
            <w:gridSpan w:val="8"/>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5.</w:t>
            </w:r>
          </w:p>
        </w:tc>
        <w:tc>
          <w:tcPr>
            <w:tcW w:w="8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40" w:type="dxa"/>
            <w:vAlign w:val="bottom"/>
            <w:gridSpan w:val="17"/>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440" w:type="dxa"/>
            <w:vAlign w:val="bottom"/>
            <w:gridSpan w:val="18"/>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tcPr>
          <w:p>
            <w:pPr>
              <w:spacing w:after="0"/>
              <w:rPr>
                <w:sz w:val="24"/>
                <w:szCs w:val="24"/>
                <w:color w:val="auto"/>
              </w:rPr>
            </w:pPr>
          </w:p>
        </w:tc>
        <w:tc>
          <w:tcPr>
            <w:tcW w:w="8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790"/>
        </w:trPr>
        <w:tc>
          <w:tcPr>
            <w:tcW w:w="144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gridSpan w:val="5"/>
          </w:tcPr>
          <w:p>
            <w:pPr>
              <w:spacing w:after="0"/>
              <w:rPr>
                <w:sz w:val="24"/>
                <w:szCs w:val="24"/>
                <w:color w:val="auto"/>
              </w:rPr>
            </w:pPr>
          </w:p>
        </w:tc>
        <w:tc>
          <w:tcPr>
            <w:tcW w:w="3240" w:type="dxa"/>
            <w:vAlign w:val="bottom"/>
            <w:gridSpan w:val="10"/>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4"/>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41,987</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48,496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124,517</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29,938</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35,035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89,444</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105,737</w:t>
            </w:r>
          </w:p>
        </w:tc>
        <w:tc>
          <w:tcPr>
            <w:tcW w:w="100" w:type="dxa"/>
            <w:vAlign w:val="bottom"/>
          </w:tcPr>
          <w:p>
            <w:pPr>
              <w:spacing w:after="0"/>
              <w:rPr>
                <w:sz w:val="18"/>
                <w:szCs w:val="18"/>
                <w:color w:val="auto"/>
              </w:rPr>
            </w:pPr>
          </w:p>
        </w:tc>
      </w:tr>
      <w:tr>
        <w:trPr>
          <w:trHeight w:val="209"/>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12,049</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13,461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40,173</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12,036</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12,641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41,179</w:t>
            </w:r>
          </w:p>
        </w:tc>
        <w:tc>
          <w:tcPr>
            <w:tcW w:w="100" w:type="dxa"/>
            <w:vAlign w:val="bottom"/>
          </w:tcPr>
          <w:p>
            <w:pPr>
              <w:spacing w:after="0"/>
              <w:rPr>
                <w:sz w:val="18"/>
                <w:szCs w:val="18"/>
                <w:color w:val="auto"/>
              </w:rPr>
            </w:pPr>
          </w:p>
        </w:tc>
      </w:tr>
      <w:tr>
        <w:trPr>
          <w:trHeight w:val="210"/>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5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800" w:type="dxa"/>
            <w:vAlign w:val="bottom"/>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800" w:type="dxa"/>
            <w:vAlign w:val="bottom"/>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54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shd w:val="clear" w:color="auto" w:fill="CFF0FC"/>
          </w:tcPr>
          <w:p>
            <w:pPr>
              <w:jc w:val="right"/>
              <w:ind w:right="6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5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(0.03)</w:t>
            </w:r>
          </w:p>
        </w:tc>
      </w:tr>
      <w:tr>
        <w:trPr>
          <w:trHeight w:val="197"/>
        </w:trPr>
        <w:tc>
          <w:tcPr>
            <w:tcW w:w="3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12,029</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11,762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12,166</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11,945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-1344930</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-1344930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-1344930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-1344930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-1062355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-1062355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-1062355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-1062355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-453390</wp:posOffset>
            </wp:positionV>
            <wp:extent cx="59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-436245</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-453390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-436245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-453390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-436245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-453390</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-436245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-153670</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-153670</wp:posOffset>
            </wp:positionV>
            <wp:extent cx="60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-153670</wp:posOffset>
            </wp:positionV>
            <wp:extent cx="60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-153670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34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84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other comprehensive income (loss), net of</w:t>
            </w:r>
          </w:p>
        </w:tc>
        <w:tc>
          <w:tcPr>
            <w:tcW w:w="840" w:type="dxa"/>
            <w:vAlign w:val="bottom"/>
          </w:tcPr>
          <w:p>
            <w:pPr>
              <w:spacing w:after="0"/>
              <w:rPr>
                <w:sz w:val="16"/>
                <w:szCs w:val="16"/>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(418)</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8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84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(654)</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-445135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-445135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-445135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-445135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-24765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-7620</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-24765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-7620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-24765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-7620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$245 in 2026 and $275</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2025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software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(7,697)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09"/>
        </w:trPr>
        <w:tc>
          <w:tcPr>
            <w:tcW w:w="6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5)</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shares authorized and 14,052,048 shares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issued as of September 30, 2026 and 13,715,016 shares issued as of December 31,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2,022,864 shares as of September 30, 2026 and</w:t>
            </w:r>
          </w:p>
        </w:tc>
        <w:tc>
          <w:tcPr>
            <w:tcW w:w="160" w:type="dxa"/>
            <w:vAlign w:val="bottom"/>
          </w:tcPr>
          <w:p>
            <w:pPr>
              <w:spacing w:after="0"/>
              <w:rPr>
                <w:sz w:val="17"/>
                <w:szCs w:val="17"/>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(7,131)</w:t>
            </w:r>
          </w:p>
        </w:tc>
        <w:tc>
          <w:tcPr>
            <w:tcW w:w="0" w:type="dxa"/>
            <w:vAlign w:val="bottom"/>
          </w:tcPr>
          <w:p>
            <w:pPr>
              <w:spacing w:after="0"/>
              <w:rPr>
                <w:sz w:val="1"/>
                <w:szCs w:val="1"/>
                <w:color w:val="auto"/>
              </w:rPr>
            </w:pPr>
          </w:p>
        </w:tc>
      </w:tr>
      <w:tr>
        <w:trPr>
          <w:trHeight w:val="221"/>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2,022,864 shares as of December 31, 2025</w:t>
            </w: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110,650</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-5057140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-5057140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-4773930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-4773930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-3668395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-3668395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-2536825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-2536825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-1971040</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-1971040</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499110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3"/>
                <w:szCs w:val="13"/>
                <w:color w:val="auto"/>
              </w:rPr>
            </w:pPr>
          </w:p>
        </w:tc>
        <w:tc>
          <w:tcPr>
            <w:tcW w:w="11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vMerge w:val="continue"/>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5"/>
                <w:szCs w:val="15"/>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56,427</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(7,131)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(2,640)</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56,691</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(7,131)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(3,201)</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56,591</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(7,131)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(3,281)</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Stock options exercised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September 30, 2026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56,598</w:t>
            </w:r>
          </w:p>
        </w:tc>
        <w:tc>
          <w:tcPr>
            <w:tcW w:w="2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(7,131)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-1731010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-1731010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-1731010</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-1731010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-1731010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-1731010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-24765</wp:posOffset>
            </wp:positionV>
            <wp:extent cx="59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-24765</wp:posOffset>
            </wp:positionV>
            <wp:extent cx="59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-24765</wp:posOffset>
            </wp:positionV>
            <wp:extent cx="59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-7620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-24765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-7620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-24765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ind w:right="360" w:firstLine="4"/>
        <w:spacing w:after="0" w:line="284"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Represents proceeds received in August 2026 for stock options exercised in the second quarter of 2026. No stock options were exercised during the three months ended September 30, 2026.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1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(4,885)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(1,910)</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14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(4,885)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June 30,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54,513</w:t>
            </w:r>
          </w:p>
        </w:tc>
        <w:tc>
          <w:tcPr>
            <w:tcW w:w="1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(4,999)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941</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3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September 30,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55,454</w:t>
            </w:r>
          </w:p>
        </w:tc>
        <w:tc>
          <w:tcPr>
            <w:tcW w:w="14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(6,477)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(2,321)</w:t>
            </w: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-2013585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-2013585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-2013585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-2013585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-2013585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-873760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-856615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-873760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-856615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-873760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-856615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-873760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-856615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-873760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-856615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-873760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-856615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-8255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-24765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-8255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-24765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-8255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-24765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-8255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r>
      <w:tr>
        <w:trPr>
          <w:trHeight w:val="198"/>
        </w:trPr>
        <w:tc>
          <w:tcPr>
            <w:tcW w:w="604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cash provided by (used in)</w:t>
            </w:r>
          </w:p>
        </w:tc>
        <w:tc>
          <w:tcPr>
            <w:tcW w:w="6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Unrealized FX on monetary items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Working capital items: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(1,257)</w:t>
            </w: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604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640" w:type="dxa"/>
            <w:vAlign w:val="bottom"/>
            <w:tcBorders>
              <w:top w:val="single" w:sz="8" w:color="CFF0FC"/>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Borders>
              <w:top w:val="single" w:sz="8" w:color="CFF0FC"/>
            </w:tcBorders>
          </w:tcPr>
          <w:p>
            <w:pPr>
              <w:spacing w:after="0"/>
              <w:rPr>
                <w:sz w:val="18"/>
                <w:szCs w:val="18"/>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60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ESPP and the issuance of common shares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r>
      <w:tr>
        <w:trPr>
          <w:trHeight w:val="210"/>
        </w:trPr>
        <w:tc>
          <w:tcPr>
            <w:tcW w:w="60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0"/>
        </w:trPr>
        <w:tc>
          <w:tcPr>
            <w:tcW w:w="60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64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100" w:type="dxa"/>
            <w:vAlign w:val="bottom"/>
          </w:tcPr>
          <w:p>
            <w:pPr>
              <w:spacing w:after="0"/>
              <w:rPr>
                <w:sz w:val="18"/>
                <w:szCs w:val="18"/>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37,939</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00" w:type="dxa"/>
            <w:vAlign w:val="bottom"/>
            <w:shd w:val="clear" w:color="auto" w:fill="CFF0FC"/>
          </w:tcPr>
          <w:p>
            <w:pPr>
              <w:spacing w:after="0"/>
              <w:rPr>
                <w:sz w:val="19"/>
                <w:szCs w:val="19"/>
                <w:color w:val="auto"/>
              </w:rPr>
            </w:pP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-2013585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-2013585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-1447800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-1447800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-599440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-599440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including revisions to the classification of certain cash flow items.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 2026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40" w:right="5440" w:hanging="436"/>
        <w:spacing w:after="0" w:line="378" w:lineRule="auto"/>
        <w:tabs>
          <w:tab w:leader="none" w:pos="44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Basis of Presentation</w:t>
      </w: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primarily large and medium-sized organizations.</w:t>
      </w:r>
    </w:p>
    <w:p>
      <w:pPr>
        <w:spacing w:after="0" w:line="225"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portfolio of offerings includes a combination of professional services and staffing solutions designed to support our clients’ digital and technology initiatives. Beginning on January 1, 2026, we report our operations through two segments: Talent and Data &amp; AI. This change reflects a realignment of the Company's internal management and reporting structure under its operating strategy, whereby the Chief Operating Decision Maker evaluates operating performance and allocates resources based on these two segments. Prior-period segment information has been recast to conform to the current presentation.</w:t>
      </w:r>
    </w:p>
    <w:p>
      <w:pPr>
        <w:spacing w:after="0" w:line="183"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Data &amp; AI segment consists of direct client engagements that are managed as services-led accounts. These offerings include data management and analytics, digital transformation consulting, AI and Industry Solutions, data engineering and IT services, and managed services. These services are delivered through a mix of on-site and offshore resources and may be structured as project-based, time-and-materials, or fixed-price arrangements. Our capabilities in this segment have been expanded through acquisitions, including InfoTrellis, Inc. ("InfoTrellis") in 2017, which added specialized data and analytics expertise, and AmberLeaf Partners, Inc. ("AmberLeaf") in 2020, which enhanced our customer experience consulting and managed services offerings.</w:t>
      </w:r>
    </w:p>
    <w:p>
      <w:pPr>
        <w:spacing w:after="0" w:line="18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(“MSPs”) and system integrators, as well as certain direct client staffing relationships that are managed as staffing-only engagements. Our digital technology capabilities include data management, analytics, cloud, mobility, social, and artificial intelligence. We serve organizations with significant IT spending and recurring staffing needs, as well as clients with project-based staffing requirements.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2025, included in our Annual Report on Form 10-K filed with the SEC on March 18, 2026. Additionally, our operating results for the three and nine months ended September 30, 2026, are not necessarily indicative of the results that can be expected for the year ending December 31, 2026 or for any other period.</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499110</wp:posOffset>
            </wp:positionV>
            <wp:extent cx="70377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2025, for a more detailed discussion of our significant accounting policies and critical accounting estimates. There were no material changes to these critical accounting policies during the nine months ended September 30, 2026.</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Codification (“ASC”) Topic 280 “Disclosures About Segments of an Enterprise and Related Information”: Talent and Data &amp; AI. See Note 12, "Business Segments and Geographic Information", for additional information regarding the Company's reportable segments.</w:t>
      </w:r>
    </w:p>
    <w:p>
      <w:pPr>
        <w:spacing w:after="0" w:line="280" w:lineRule="exact"/>
        <w:rPr>
          <w:sz w:val="20"/>
          <w:szCs w:val="20"/>
          <w:color w:val="auto"/>
        </w:rPr>
      </w:pPr>
    </w:p>
    <w:p>
      <w:pPr>
        <w:ind w:left="440" w:hanging="436"/>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fair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92"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Beginning on January 1, 2026, the Company reports its operations through two segments: Talent and Data &amp; AI.</w:t>
      </w:r>
    </w:p>
    <w:p>
      <w:pPr>
        <w:spacing w:after="0" w:line="225"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Data &amp; AI segment provides direct client engagements that are managed as services-led accounts. These offerings include data management and analytics, digital transformation consulting, AI and Industry Solutions, staffing to direct customers, data engineering and IT services, and managed services. Engagements are typically project-based and may be structured as time-and-material or fixed-price arrangements and delivered using a combination of on-site and offshore resources.</w:t>
      </w:r>
    </w:p>
    <w:p>
      <w:pPr>
        <w:spacing w:after="0" w:line="180"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and system integrators, as well as certain direct client staffing relationships that are managed as staffing-only engagements. Substantially all revenue within this segment is recognized over time as services are performed, generally based on hours worked.</w:t>
      </w:r>
    </w:p>
    <w:p>
      <w:pPr>
        <w:sectPr>
          <w:pgSz w:w="11900" w:h="16838" w:orient="portrait"/>
          <w:cols w:equalWidth="0" w:num="1">
            <w:col w:w="9720"/>
          </w:cols>
          <w:pgMar w:left="1080" w:top="117" w:right="109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3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vMerge w:val="continue"/>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gridSpan w:val="3"/>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Data and AI Segment</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12,699</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37,795</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Subtotal Data &amp; AI</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14,122</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15,160</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40,190</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w w:val="97"/>
              </w:rPr>
              <w:t>Talent Segment</w:t>
            </w:r>
          </w:p>
        </w:tc>
        <w:tc>
          <w:tcPr>
            <w:tcW w:w="1780" w:type="dxa"/>
            <w:vAlign w:val="bottom"/>
            <w:tcBorders>
              <w:bottom w:val="single" w:sz="8" w:color="CFF0FC"/>
            </w:tcBorders>
            <w:gridSpan w:val="2"/>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Subtotal Talent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27,865</w:t>
            </w: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33,336</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84,327</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99,016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gridSpan w:val="3"/>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41,987</w:t>
            </w:r>
          </w:p>
        </w:tc>
        <w:tc>
          <w:tcPr>
            <w:tcW w:w="62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48,496</w:t>
            </w:r>
          </w:p>
        </w:tc>
        <w:tc>
          <w:tcPr>
            <w:tcW w:w="50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124,517</w:t>
            </w:r>
          </w:p>
        </w:tc>
        <w:tc>
          <w:tcPr>
            <w:tcW w:w="6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145,910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-770890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-770890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-770890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-770890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-187960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-170815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-187960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-170815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-187960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-170815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-187960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the Company had one client (Fidelity = 28.5%) that exceeded 10% of total revenues. For the nine months ended September 30, 2026, the Company had one client (Fidelity = 26.6%) that exceeded 10% of total revenues.</w:t>
      </w:r>
    </w:p>
    <w:p>
      <w:pPr>
        <w:spacing w:after="0" w:line="176"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 Company had three clients (Fidelity = 18.1%, Populus = 12.7% and CGI = 10.4%) that each exceeded 10% of total revenues. For the nine months ended September 30, 2025, the Company had the same three clients (Fidelity = 15.4%, Populus = 12.3% and CGI = 11.1%) that each exceeded 10% of total revenues.</w:t>
      </w:r>
    </w:p>
    <w:p>
      <w:pPr>
        <w:spacing w:after="0" w:line="17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62% and 59% of total revenues for the three months ended September 30, 2026 and 2025, respectively. For the nine months ended September 30, 2026 and 2025, the Company's top ten clients represented approximately 60% and 58% of total revenues, respectively.</w:t>
      </w:r>
    </w:p>
    <w:p>
      <w:pPr>
        <w:spacing w:after="0" w:line="176"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60" w:type="dxa"/>
            <w:vAlign w:val="bottom"/>
            <w:vMerge w:val="continue"/>
          </w:tcPr>
          <w:p>
            <w:pPr>
              <w:spacing w:after="0"/>
              <w:rPr>
                <w:sz w:val="12"/>
                <w:szCs w:val="12"/>
                <w:color w:val="auto"/>
              </w:rPr>
            </w:pPr>
          </w:p>
        </w:tc>
        <w:tc>
          <w:tcPr>
            <w:tcW w:w="1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121,751</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and Other</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41,987</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48,496</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124,517</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-170815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-170815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-170815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440" w:hanging="436"/>
        <w:spacing w:after="0"/>
        <w:tabs>
          <w:tab w:leader="none" w:pos="4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Goodwill is allocated to the Company’s reporting units within its Talent and Data &amp; AI segments. In connection with the Company’s adoption of its revised segment reporting structure effective January 1, 2026, goodwill and identifiable intangible assets were reassigned to the Company’s reporting units using a relative fair value approach. The reassignment did not impact the Company’s total consolidated goodwill or intangible asset balances.</w:t>
      </w:r>
    </w:p>
    <w:p>
      <w:pPr>
        <w:spacing w:after="0" w:line="7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Goodwill associated with the Talent segment relates to the Company’s 2015 acquisition of Hudson Global Resources Management’s U.S. IT staffing business. Goodwill associated with the Data &amp; AI segment includes amounts related to the Company’s acquisitions of the services division of InfoTrellis in 2017 and AmberLeaf in 2020, as well as a portion of goodwill originally arising from the Company’s 2015 acquisition of Hudson Global Resources Management’s U.S. IT staffing business that was reallocated in connection with the segment realignment.</w:t>
      </w:r>
    </w:p>
    <w:p>
      <w:pPr>
        <w:sectPr>
          <w:pgSz w:w="11900" w:h="16838" w:orient="portrait"/>
          <w:cols w:equalWidth="0" w:num="1">
            <w:col w:w="9700"/>
          </w:cols>
          <w:pgMar w:left="1080" w:top="11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right="820" w:firstLine="441"/>
        <w:spacing w:after="0" w:line="282" w:lineRule="auto"/>
        <w:rPr>
          <w:sz w:val="20"/>
          <w:szCs w:val="20"/>
          <w:color w:val="auto"/>
        </w:rPr>
      </w:pPr>
      <w:r>
        <w:rPr>
          <w:rFonts w:ascii="Times New Roman" w:cs="Times New Roman" w:eastAsia="Times New Roman" w:hAnsi="Times New Roman"/>
          <w:sz w:val="18"/>
          <w:szCs w:val="18"/>
          <w:color w:val="auto"/>
        </w:rPr>
        <w:t>The Company recorded goodwill impairment charges of $5.3 million in 2023 and $9.7 million in 2018 related to its Data &amp; AI segment. These impairments were primarily attributable to declines in revenue levels and lower projected future revenues.</w:t>
      </w:r>
    </w:p>
    <w:p>
      <w:pPr>
        <w:spacing w:after="0" w:line="162" w:lineRule="exact"/>
        <w:rPr>
          <w:sz w:val="20"/>
          <w:szCs w:val="20"/>
          <w:color w:val="auto"/>
        </w:rPr>
      </w:pPr>
    </w:p>
    <w:p>
      <w:pPr>
        <w:ind w:left="660" w:right="720" w:firstLine="441"/>
        <w:spacing w:after="0" w:line="266" w:lineRule="auto"/>
        <w:rPr>
          <w:sz w:val="20"/>
          <w:szCs w:val="20"/>
          <w:color w:val="auto"/>
        </w:rPr>
      </w:pPr>
      <w:r>
        <w:rPr>
          <w:rFonts w:ascii="Times New Roman" w:cs="Times New Roman" w:eastAsia="Times New Roman" w:hAnsi="Times New Roman"/>
          <w:sz w:val="18"/>
          <w:szCs w:val="18"/>
          <w:color w:val="auto"/>
        </w:rPr>
        <w:t>A continued decline in operating performance or adverse changes in market conditions affecting the Company’s Talent segment could adversely affect the estimated fair value of the related reporting unit. If such trends persist, there is a risk that a goodwill impairment charge may be required in a future reporting period.</w:t>
      </w:r>
    </w:p>
    <w:p>
      <w:pPr>
        <w:spacing w:after="0" w:line="135" w:lineRule="exact"/>
        <w:rPr>
          <w:sz w:val="20"/>
          <w:szCs w:val="20"/>
          <w:color w:val="auto"/>
        </w:rPr>
      </w:pPr>
    </w:p>
    <w:p>
      <w:pPr>
        <w:ind w:left="660" w:right="920" w:firstLine="441"/>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periods ended September 30, 2026 and December 31, 2025 is as follows:</w:t>
      </w:r>
    </w:p>
    <w:p>
      <w:pPr>
        <w:spacing w:after="0" w:line="170"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2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120" w:type="dxa"/>
            <w:vAlign w:val="bottom"/>
            <w:gridSpan w:val="3"/>
          </w:tcPr>
          <w:p>
            <w:pPr>
              <w:jc w:val="center"/>
              <w:ind w:right="1496"/>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Talent:</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spacing w:after="0"/>
              <w:rPr>
                <w:sz w:val="18"/>
                <w:szCs w:val="18"/>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80" w:type="dxa"/>
            <w:vAlign w:val="bottom"/>
          </w:tcPr>
          <w:p>
            <w:pPr>
              <w:spacing w:after="0"/>
              <w:rPr>
                <w:sz w:val="18"/>
                <w:szCs w:val="18"/>
                <w:color w:val="auto"/>
              </w:rPr>
            </w:pPr>
          </w:p>
        </w:tc>
        <w:tc>
          <w:tcPr>
            <w:tcW w:w="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16"/>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recorded</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80" w:type="dxa"/>
            <w:vAlign w:val="bottom"/>
            <w:shd w:val="clear" w:color="auto" w:fill="CFF0FC"/>
          </w:tcPr>
          <w:p>
            <w:pPr>
              <w:spacing w:after="0"/>
              <w:rPr>
                <w:sz w:val="21"/>
                <w:szCs w:val="21"/>
                <w:color w:val="auto"/>
              </w:rPr>
            </w:pPr>
          </w:p>
        </w:tc>
        <w:tc>
          <w:tcPr>
            <w:tcW w:w="200" w:type="dxa"/>
            <w:vAlign w:val="bottom"/>
            <w:tcBorders>
              <w:left w:val="single" w:sz="8" w:color="CFF0FC"/>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347"/>
        </w:trPr>
        <w:tc>
          <w:tcPr>
            <w:tcW w:w="220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2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120" w:type="dxa"/>
            <w:vAlign w:val="bottom"/>
            <w:gridSpan w:val="3"/>
          </w:tcPr>
          <w:p>
            <w:pPr>
              <w:jc w:val="center"/>
              <w:ind w:right="1436"/>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Data &amp; AI:</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spacing w:after="0"/>
              <w:rPr>
                <w:sz w:val="18"/>
                <w:szCs w:val="18"/>
                <w:color w:val="auto"/>
              </w:rPr>
            </w:pP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8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16"/>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 recorded</w:t>
            </w: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80" w:type="dxa"/>
            <w:vAlign w:val="bottom"/>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17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-1191260</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-1173480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-1191260</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-1173480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-24765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-7620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-24765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-7620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660" w:right="680" w:firstLine="441"/>
        <w:spacing w:after="0" w:line="282" w:lineRule="auto"/>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 Identifiable intangible assets were comprised of the following as of September 30, 2026 and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Accumulative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Talent: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Data &amp; AI:</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80" w:type="dxa"/>
            <w:vAlign w:val="bottom"/>
          </w:tcPr>
          <w:p>
            <w:pPr>
              <w:spacing w:after="0"/>
              <w:rPr>
                <w:sz w:val="18"/>
                <w:szCs w:val="18"/>
                <w:color w:val="auto"/>
              </w:rPr>
            </w:pP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vMerge w:val="restart"/>
          </w:tcPr>
          <w:p>
            <w:pPr>
              <w:jc w:val="right"/>
              <w:ind w:right="275"/>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-1079500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-1079500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-1079500</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Accumulative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 (In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Talent: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Data &amp; AI:</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Client relationships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Covenant-not-to-compete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80" w:type="dxa"/>
            <w:vAlign w:val="bottom"/>
          </w:tcPr>
          <w:p>
            <w:pPr>
              <w:spacing w:after="0"/>
              <w:rPr>
                <w:sz w:val="18"/>
                <w:szCs w:val="18"/>
                <w:color w:val="auto"/>
              </w:rPr>
            </w:pP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-170815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5410835</wp:posOffset>
            </wp:positionH>
            <wp:positionV relativeFrom="paragraph">
              <wp:posOffset>-170815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6224905</wp:posOffset>
            </wp:positionH>
            <wp:positionV relativeFrom="paragraph">
              <wp:posOffset>-170815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660" w:right="680" w:firstLine="441"/>
        <w:spacing w:after="0" w:line="261"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2026, totaled $0.6 million and $1.8 million respectively, and is included in selling, general and administrative expenses in the Consolidated Statement of Operations. Amortization expense for the three and nine months ended September 30, 2025, totaled $0.7 million and $1.9 million respectively, and is included in selling, general and administrative expenses in the Consolidated Statement of Operations.</w:t>
      </w:r>
    </w:p>
    <w:p>
      <w:pPr>
        <w:spacing w:after="0" w:line="396" w:lineRule="exact"/>
        <w:rPr>
          <w:sz w:val="20"/>
          <w:szCs w:val="20"/>
          <w:color w:val="auto"/>
        </w:rPr>
      </w:pPr>
    </w:p>
    <w:p>
      <w:pPr>
        <w:ind w:left="660" w:right="800" w:firstLine="441"/>
        <w:spacing w:after="0" w:line="282" w:lineRule="auto"/>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2026 through 2030 is as follows: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3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r>
      <w:tr>
        <w:trPr>
          <w:trHeight w:val="124"/>
        </w:trPr>
        <w:tc>
          <w:tcPr>
            <w:tcW w:w="3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gridSpan w:val="5"/>
          </w:tcPr>
          <w:p>
            <w:pPr>
              <w:jc w:val="right"/>
              <w:ind w:right="140"/>
              <w:spacing w:after="0" w:line="124" w:lineRule="exact"/>
              <w:rPr>
                <w:sz w:val="20"/>
                <w:szCs w:val="20"/>
                <w:color w:val="auto"/>
              </w:rPr>
            </w:pPr>
            <w:r>
              <w:rPr>
                <w:rFonts w:ascii="Times New Roman" w:cs="Times New Roman" w:eastAsia="Times New Roman" w:hAnsi="Times New Roman"/>
                <w:sz w:val="14"/>
                <w:szCs w:val="14"/>
                <w:b w:val="1"/>
                <w:bCs w:val="1"/>
                <w:color w:val="auto"/>
                <w:w w:val="93"/>
              </w:rPr>
              <w:t>(Amounts in thousands)</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329" w:lineRule="exact"/>
        <w:rPr>
          <w:sz w:val="20"/>
          <w:szCs w:val="20"/>
          <w:color w:val="auto"/>
        </w:rPr>
      </w:pPr>
    </w:p>
    <w:p>
      <w:pPr>
        <w:ind w:left="1100" w:hanging="436"/>
        <w:spacing w:after="0"/>
        <w:tabs>
          <w:tab w:leader="none" w:pos="11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660" w:right="800" w:firstLine="441"/>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under noncancelable operating leases. As of September 30, 2026, approximately 100,000 square feet of office space is utilized for our sales and recruiting offices, delivery centers, and corporate headquarters. All of our leases are classified as operating leases. The average initial lease term is 3.1 years. Several leases have an option to renew, at our sole discretion, for an additional term. Our present lease terms range from less than one year to 5.4 years with a weighted average of 3.3 years. Leases with an initial term of twelve months or less are not recorded on the balance sheet.</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3"/>
          </w:tcPr>
          <w:p>
            <w:pPr>
              <w:jc w:val="right"/>
              <w:ind w:right="696"/>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tcPr>
          <w:p>
            <w:pPr>
              <w:spacing w:after="0"/>
              <w:rPr>
                <w:sz w:val="17"/>
                <w:szCs w:val="17"/>
                <w:color w:val="auto"/>
              </w:rPr>
            </w:pPr>
          </w:p>
        </w:tc>
        <w:tc>
          <w:tcPr>
            <w:tcW w:w="3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4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18"/>
                <w:szCs w:val="18"/>
                <w:color w:val="auto"/>
              </w:rPr>
            </w:pPr>
          </w:p>
        </w:tc>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4845050</wp:posOffset>
            </wp:positionH>
            <wp:positionV relativeFrom="paragraph">
              <wp:posOffset>-1079500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-1079500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170"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48"/>
        </w:trPr>
        <w:tc>
          <w:tcPr>
            <w:tcW w:w="47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(for remainder of year)</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5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5.8%.</w:t>
      </w:r>
    </w:p>
    <w:p>
      <w:pPr>
        <w:spacing w:after="0" w:line="225"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nine months ended September 30, 2026 totaled $0.5 million and $1.4 million respectively. Rental expense for the three and nine months ended September 30, 2025 totaled $0.4 million and $1.2 million respectively.</w:t>
      </w:r>
    </w:p>
    <w:p>
      <w:pPr>
        <w:spacing w:after="0" w:line="39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Cash paid for lease liabilities for the three and nine months ended September 30, 2026 totaled $0.2 million and $1.1 million, respectively. Total cash paid for lease liabilities for the three and nine months ended September 30, 2025 totaled $0.4 million and $1.1 million, respectively.</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obtained right-of-use assets in exchange for operating lease liabilities of $1.0 million and $1.4 million, respectively, which were non-cash transactions. The three-month amount relates to the Company's new Dallas, Texas office lease for approximately 5,895 square feet of office space, which commenced in the third quarter of 2026. No right-of-use assets were obtained in exchange for lease liabilities during the three and nine months ended September 30, 2025.</w:t>
      </w:r>
    </w:p>
    <w:p>
      <w:pPr>
        <w:spacing w:after="0" w:line="7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Company has begun evaluating options to exit its Pittsburgh, Pennsylvania office lease and to lease space in the area that better meets its current space needs. No decision has been made.</w:t>
      </w:r>
    </w:p>
    <w:p>
      <w:pPr>
        <w:spacing w:after="0" w:line="266" w:lineRule="exact"/>
        <w:rPr>
          <w:sz w:val="20"/>
          <w:szCs w:val="20"/>
          <w:color w:val="auto"/>
        </w:rPr>
      </w:pPr>
    </w:p>
    <w:p>
      <w:pPr>
        <w:ind w:left="440" w:hanging="436"/>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284" w:lineRule="exact"/>
        <w:rPr>
          <w:sz w:val="20"/>
          <w:szCs w:val="20"/>
          <w:color w:val="auto"/>
        </w:rPr>
      </w:pPr>
    </w:p>
    <w:p>
      <w:pPr>
        <w:ind w:left="440" w:hanging="436"/>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hanging="436"/>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and further amended on May 14, 2025 and May 13, 2026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stock awards or restricted stock units. As of September 30, 2026, 718,000 shares remained available for future grant under the Plan.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equity awards granted during the three and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69"/>
        </w:trPr>
        <w:tc>
          <w:tcPr>
            <w:tcW w:w="3320" w:type="dxa"/>
            <w:vAlign w:val="bottom"/>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Equity Awards Granted</w:t>
            </w:r>
          </w:p>
        </w:tc>
        <w:tc>
          <w:tcPr>
            <w:tcW w:w="86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
        </w:trPr>
        <w:tc>
          <w:tcPr>
            <w:tcW w:w="1860" w:type="dxa"/>
            <w:vAlign w:val="bottom"/>
            <w:tcBorders>
              <w:top w:val="single" w:sz="8" w:color="auto"/>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awards (shares)</w:t>
            </w:r>
          </w:p>
        </w:tc>
        <w:tc>
          <w:tcPr>
            <w:tcW w:w="860" w:type="dxa"/>
            <w:vAlign w:val="bottom"/>
          </w:tcPr>
          <w:p>
            <w:pPr>
              <w:spacing w:after="0"/>
              <w:rPr>
                <w:sz w:val="18"/>
                <w:szCs w:val="18"/>
                <w:color w:val="auto"/>
              </w:rPr>
            </w:pPr>
          </w:p>
        </w:tc>
        <w:tc>
          <w:tcPr>
            <w:tcW w:w="164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(shares)</w:t>
            </w:r>
          </w:p>
        </w:tc>
        <w:tc>
          <w:tcPr>
            <w:tcW w:w="86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1,029,358</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exercise price (options)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148,749</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Of the restricted stock granted during the nine months ended September 30, 2026, 100,314 shares vested immediately upon grant but are subject to transfer restrictions that prohibit disposition until March 30, 2028, subject to immediate lapse of any restriction due to (i) separation from the Company for any reason, (ii) death, or (iii) disability. Because these shares vested immediately, they did not result in additional stock-based compensation expense, but rather, they were issued in settlement of previously accrued cash compensation. The remaining restricted stock awards and the restricted stock units granted in the first and second quarters vest one year from the grant date. The 70,000 restricted stock units granted in the third quarter of 2026 vest in three equal annual installments beginning on the first anniversary of the grant date.</w:t>
      </w:r>
    </w:p>
    <w:p>
      <w:pPr>
        <w:spacing w:after="0" w:line="8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during the three and nine months ended September 30, 2026 and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4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3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2"/>
          </w:tcPr>
          <w:p>
            <w:pPr>
              <w:jc w:val="center"/>
              <w:ind w:right="48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7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100" w:firstLine="441"/>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included in selling, general and administrative expenses in the accompanying Condensed Consolidated Statements of Operations.</w:t>
      </w:r>
    </w:p>
    <w:p>
      <w:pPr>
        <w:spacing w:after="0" w:line="54" w:lineRule="exact"/>
        <w:rPr>
          <w:sz w:val="20"/>
          <w:szCs w:val="20"/>
          <w:color w:val="auto"/>
        </w:rPr>
      </w:pPr>
    </w:p>
    <w:p>
      <w:pPr>
        <w:jc w:val="both"/>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shares of Common Stock issued pursuant to equity awards under the Plan during the three and nine months ended September 30, 2026 and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60" w:type="dxa"/>
            <w:vAlign w:val="bottom"/>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1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0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90"/>
        </w:trPr>
        <w:tc>
          <w:tcPr>
            <w:tcW w:w="106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3080" w:type="dxa"/>
            <w:vAlign w:val="bottom"/>
            <w:tcBorders>
              <w:bottom w:val="single" w:sz="8" w:color="CFF0FC"/>
            </w:tcBorders>
            <w:gridSpan w:val="2"/>
            <w:shd w:val="clear" w:color="auto" w:fill="CFF0FC"/>
          </w:tcPr>
          <w:p>
            <w:pPr>
              <w:spacing w:after="0"/>
              <w:rPr>
                <w:sz w:val="16"/>
                <w:szCs w:val="16"/>
                <w:color w:val="auto"/>
              </w:rPr>
            </w:pPr>
          </w:p>
        </w:tc>
        <w:tc>
          <w:tcPr>
            <w:tcW w:w="5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vesting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116,919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Stock option exercises </w:t>
            </w:r>
            <w:r>
              <w:rPr>
                <w:rFonts w:ascii="Times New Roman" w:cs="Times New Roman" w:eastAsia="Times New Roman" w:hAnsi="Times New Roman"/>
                <w:sz w:val="24"/>
                <w:szCs w:val="24"/>
                <w:color w:val="auto"/>
                <w:vertAlign w:val="superscript"/>
              </w:rPr>
              <w:t>(1)</w:t>
            </w: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82,520</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215,730</w:t>
            </w:r>
          </w:p>
        </w:tc>
        <w:tc>
          <w:tcPr>
            <w:tcW w:w="2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shares issued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332,649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-156845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-156845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-156845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-156845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7" w:lineRule="exact"/>
        <w:rPr>
          <w:sz w:val="20"/>
          <w:szCs w:val="20"/>
          <w:color w:val="auto"/>
        </w:rPr>
      </w:pPr>
    </w:p>
    <w:p>
      <w:pPr>
        <w:ind w:right="120" w:firstLine="445"/>
        <w:spacing w:after="0" w:line="267"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 proceeds of $30,000 reflected in the Condensed Consolidated Statements of Shareholders’ Equity for the three months ended September 30, 2026 relate to exercises that occurred in the second quarter of 2026. See the Condensed Consolidated Statements of Shareholders' Equity.</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The Company’s 2019 Employee Stock Purchase Plan (the “ESPP”) was terminated by the Board of Directors on February 16, 2026, effective July 1, 2026, following completion of the offering period ended June 30, 2026. No further offering periods under the ESPP will commence. Under the ESPP, eligible employees could purchase common stock at a 15% discount to the lower of the fair market value on the first or last day of each six-month offering period; the fair value of the purchase rights was estimated using the Black-Scholes option pricing model. During the nine months ended September 30, 2026 and 2025, 4,381 shares and 11,483 shares were issued under the ESPP at $5.69 and $6.09 per share, respectively. No shares were issued during the three months ended September 30, 2026 or 2025. ESPP-related stock-based compensation expense totaled zero dollars and $8,000 for the three months ended September 30, 2026 and 2025, respectively, and $10,000 and $50,000 for the nine months ended September 30, 2026 and 2025, respectively, and is included in selling, general and administrative expenses in the Condensed Consolidated Statements of Operations.</w:t>
      </w:r>
    </w:p>
    <w:p>
      <w:pPr>
        <w:spacing w:after="0" w:line="200" w:lineRule="exact"/>
        <w:rPr>
          <w:sz w:val="20"/>
          <w:szCs w:val="20"/>
          <w:color w:val="auto"/>
        </w:rPr>
      </w:pPr>
    </w:p>
    <w:p>
      <w:pPr>
        <w:spacing w:after="0" w:line="308" w:lineRule="exact"/>
        <w:rPr>
          <w:sz w:val="20"/>
          <w:szCs w:val="20"/>
          <w:color w:val="auto"/>
        </w:rPr>
      </w:pPr>
    </w:p>
    <w:p>
      <w:pPr>
        <w:ind w:left="440" w:hanging="436"/>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w:t>
      </w:r>
    </w:p>
    <w:p>
      <w:pPr>
        <w:spacing w:after="0" w:line="188"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 $10.0 million; and (ii) the sum of 85% of eligible Canadian receivables, plus 60% of eligible Canadian unbilled receivables, less a reserve amount established by the administrative agent.</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9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September 30, 2026, the Company was in compliance with all applicable provisions of the Credit Agreement.</w:t>
      </w:r>
    </w:p>
    <w:p>
      <w:pPr>
        <w:spacing w:after="0" w:line="183"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 December 29, 2023 amendments to the Credit Agreement, the Company paid a commitment fee and incurred deferred financing costs totaling $1,039,000, which were capitalized and are being amortized as interest expense over the life of the Credit Facility. Deferred financing costs of $24,000 and $95,000 (net of amortization) as of September 30, 2026, and December 31, 2025, respectively, are presented as long-term assets in the Company’s Consolidated Balance Sheets.</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Company’s outstanding borrowings under the Revolver totaled zero dollars; and unused borrowing capacity available was approximately $18.3 million and $19.9 million, respectively. There were no outstanding borrowings under the Term Loan at September 30, 2026, and December 31, 2025. On May 9, 2024, the Company issued two standby Letters of Credit for $162,000 each from PNC Bank to a Vietnam client to secure certain performance and advance payment guarantees made to the client on an existing fixed price Data and Analytics Services assignment. As of March 21, 2026 the letters of credit expired without payment and will not be renewed.</w:t>
      </w:r>
    </w:p>
    <w:p>
      <w:pPr>
        <w:spacing w:after="0" w:line="187"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Company is currently in discussions with the lenders to extend the maturity of the Credit Agreement. While the extension has not been finalized as of the date of these financial statements, the Company expects the amendment process to be completed during the fourth quarter of 2026.</w:t>
      </w:r>
    </w:p>
    <w:p>
      <w:pPr>
        <w:spacing w:after="0" w:line="280" w:lineRule="exact"/>
        <w:rPr>
          <w:sz w:val="20"/>
          <w:szCs w:val="20"/>
          <w:color w:val="auto"/>
        </w:rPr>
      </w:pPr>
    </w:p>
    <w:p>
      <w:pPr>
        <w:ind w:left="440" w:hanging="436"/>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components of income (loss) before taxes, as shown in the accompanying Financial Statements, consisted of the following for the three and nine months ended September 30,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520" w:type="dxa"/>
            <w:vAlign w:val="bottom"/>
            <w:gridSpan w:val="6"/>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vMerge w:val="continue"/>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7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-170815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-170815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-170815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60" w:firstLine="495"/>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that generate revenues from non-U.S.-based clients and provide services to the Company’s U.S. operations. As a result, a portion of the Company's earnings is subject to the foreign tax jurisdictions, which may have tax rates that differ from those in the United States.</w:t>
      </w:r>
    </w:p>
    <w:p>
      <w:pPr>
        <w:spacing w:after="0" w:line="176"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Financial Statements, consisted of the following for the three and nine months ended September 30,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44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8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60" w:type="dxa"/>
            <w:vAlign w:val="bottom"/>
            <w:gridSpan w:val="2"/>
            <w:vMerge w:val="continue"/>
          </w:tcPr>
          <w:p>
            <w:pPr>
              <w:spacing w:after="0"/>
              <w:rPr>
                <w:sz w:val="12"/>
                <w:szCs w:val="12"/>
                <w:color w:val="auto"/>
              </w:rPr>
            </w:pPr>
          </w:p>
        </w:tc>
        <w:tc>
          <w:tcPr>
            <w:tcW w:w="7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(179)</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96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8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-1019175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-1019175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-1019175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-1019175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-462280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-462280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-462280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-462280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-170815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-170815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-170815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(benefit) for income taxes for the three and nine months ended September 30, 2026 and 2025, were as follows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4"/>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shortfalls</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Difference in income tax rate on foreign</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earnings/other</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r>
      <w:tr>
        <w:trPr>
          <w:trHeight w:val="229"/>
        </w:trPr>
        <w:tc>
          <w:tcPr>
            <w:tcW w:w="4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536"/>
        </w:trPr>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shortfalls</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Difference in income tax rate on foreign</w:t>
            </w: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earnings/other</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4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-1482725</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-1464945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-1482725</wp:posOffset>
            </wp:positionV>
            <wp:extent cx="1117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-1464945</wp:posOffset>
            </wp:positionV>
            <wp:extent cx="1117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-1482725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-1464945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-1482725</wp:posOffset>
            </wp:positionV>
            <wp:extent cx="1117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-1464945</wp:posOffset>
            </wp:positionV>
            <wp:extent cx="1117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maintained a valuation allowance of approximately $435,000 against net operating losses in Ireland and the United Kingdom that may not be realized.</w:t>
      </w:r>
    </w:p>
    <w:p>
      <w:pPr>
        <w:spacing w:after="0" w:line="200" w:lineRule="exact"/>
        <w:rPr>
          <w:sz w:val="20"/>
          <w:szCs w:val="20"/>
          <w:color w:val="auto"/>
        </w:rPr>
      </w:pPr>
    </w:p>
    <w:p>
      <w:pPr>
        <w:spacing w:after="0" w:line="282" w:lineRule="exact"/>
        <w:rPr>
          <w:sz w:val="20"/>
          <w:szCs w:val="20"/>
          <w:color w:val="auto"/>
        </w:rPr>
      </w:pPr>
    </w:p>
    <w:p>
      <w:pPr>
        <w:ind w:left="440" w:hanging="436"/>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On February 16, 2026, the Board of Directors authorized a new share repurchase program under which the Company may repurchase up to $5.0 million of its outstanding common stock. Repurchases under the program may be made from time to time through privately negotiated transactions, block purchases, or other means, and the program may be modified, suspended, or terminated at any time at the discretion of the Board. The timing and amount of repurchases, if any, will depend on business, market, and economic conditions, as well as other factors. No repurchases were made under this program during the three and nine months ended September 30, 2026.</w:t>
      </w:r>
    </w:p>
    <w:p>
      <w:pPr>
        <w:spacing w:after="0" w:line="187"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Additionally, the Company may repurchase shares from time to time to satisfy employee tax withholding obligations related to its Stock Incentive Plan. The Company did not repurchase any shares for this purpose during the three and nine months ended September 30,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0" w:hanging="436"/>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00" w:lineRule="exact"/>
        <w:rPr>
          <w:sz w:val="20"/>
          <w:szCs w:val="20"/>
          <w:color w:val="auto"/>
        </w:rPr>
      </w:pPr>
    </w:p>
    <w:p>
      <w:pPr>
        <w:spacing w:after="0" w:line="24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or restricted stock awards, or units settled, calculated using the treasury stock method. Options and unvested restricted stock awards or units that would have an anti-dilutive effect are excluded from the computation of diluted earnings (loss) per share.</w:t>
      </w:r>
    </w:p>
    <w:tbl>
      <w:tblPr>
        <w:tblLayout w:type="fixed"/>
        <w:tblInd w:w="0" w:type="dxa"/>
        <w:tblCellMar>
          <w:top w:w="0" w:type="dxa"/>
          <w:left w:w="0" w:type="dxa"/>
          <w:bottom w:w="0" w:type="dxa"/>
          <w:right w:w="0" w:type="dxa"/>
        </w:tblCellMar>
      </w:tblPr>
      <w:tr>
        <w:trPr>
          <w:trHeight w:val="131"/>
        </w:trPr>
        <w:tc>
          <w:tcPr>
            <w:tcW w:w="4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tcPr>
          <w:p>
            <w:pPr>
              <w:jc w:val="center"/>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6"/>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8"/>
              </w:rPr>
              <w:t>except</w:t>
            </w: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20" w:type="dxa"/>
            <w:vAlign w:val="bottom"/>
            <w:vMerge w:val="continue"/>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1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1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0"/>
                <w:szCs w:val="20"/>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-839470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4691380</wp:posOffset>
            </wp:positionH>
            <wp:positionV relativeFrom="paragraph">
              <wp:posOffset>-839470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-839470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-839470</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hanging="436"/>
        <w:spacing w:after="0"/>
        <w:tabs>
          <w:tab w:leader="none" w:pos="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Beginning January 1, 2026, the Company reports its operations through two reportable segments: Talent and Data &amp; AI. This change reflects a realignment of the Company’s internal management and reporting structure under its operating strategy, whereby the Chief Operating Decision Maker evaluates operating performance and allocates resources based on these two segments. Prior-period segment information has been recast to conform to the current presentation.</w:t>
      </w:r>
    </w:p>
    <w:p>
      <w:pPr>
        <w:spacing w:after="0" w:line="7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Data &amp; AI segment consists of direct client engagements that are managed as services-led accounts. These offerings include data management and analytics, digital transformation consulting, AI and Industry Solutions, staffing to direct customers, data engineering and IT services, and managed services. Engagements are typically project-based and may be structured as time-and-material or fixed-price arrangements and delivered using a combination of on-site and offshore resources.</w:t>
      </w:r>
    </w:p>
    <w:p>
      <w:pPr>
        <w:spacing w:after="0" w:line="7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Talent segment consists of staffing engagements that provide clients with access to skilled technology professionals across a broad range of digital and mainstream IT disciplines. These engagements include both intermediated arrangements through managed service providers and system integrators that are managed as staffing-only engagements. Substantially all revenue within this segment is recognized over time as services are performed, generally based on hours worked.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80" w:type="dxa"/>
            <w:vAlign w:val="bottom"/>
            <w:gridSpan w:val="6"/>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vMerge w:val="continue"/>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40,190</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99,016</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124,517</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76,819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Pr>
          <w:p>
            <w:pPr>
              <w:ind w:left="360"/>
              <w:spacing w:after="0" w:line="210" w:lineRule="exact"/>
              <w:rPr>
                <w:sz w:val="20"/>
                <w:szCs w:val="20"/>
                <w:color w:val="auto"/>
              </w:rPr>
            </w:pPr>
            <w:r>
              <w:rPr>
                <w:rFonts w:ascii="Times New Roman" w:cs="Times New Roman" w:eastAsia="Times New Roman" w:hAnsi="Times New Roman"/>
                <w:sz w:val="18"/>
                <w:szCs w:val="18"/>
                <w:color w:val="auto"/>
              </w:rPr>
              <w:t>Total cost of revenues</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360"/>
              <w:spacing w:after="0" w:line="210" w:lineRule="exact"/>
              <w:rPr>
                <w:sz w:val="20"/>
                <w:szCs w:val="20"/>
                <w:color w:val="auto"/>
              </w:rPr>
            </w:pPr>
            <w:r>
              <w:rPr>
                <w:rFonts w:ascii="Times New Roman" w:cs="Times New Roman" w:eastAsia="Times New Roman" w:hAnsi="Times New Roman"/>
                <w:sz w:val="18"/>
                <w:szCs w:val="18"/>
                <w:color w:val="auto"/>
              </w:rPr>
              <w:t>Total gross profit</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0" w:type="dxa"/>
            <w:vAlign w:val="bottom"/>
          </w:tcPr>
          <w:p>
            <w:pPr>
              <w:ind w:left="360"/>
              <w:spacing w:after="0" w:line="210" w:lineRule="exact"/>
              <w:rPr>
                <w:sz w:val="20"/>
                <w:szCs w:val="20"/>
                <w:color w:val="auto"/>
              </w:rPr>
            </w:pPr>
            <w:r>
              <w:rPr>
                <w:rFonts w:ascii="Times New Roman" w:cs="Times New Roman" w:eastAsia="Times New Roman" w:hAnsi="Times New Roman"/>
                <w:sz w:val="18"/>
                <w:szCs w:val="18"/>
                <w:color w:val="auto"/>
              </w:rPr>
              <w:t>Total gross margin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Sales &amp; Marketing Expenses:</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0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sales &amp; marketing</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40" w:type="dxa"/>
            <w:vAlign w:val="bottom"/>
          </w:tcPr>
          <w:p>
            <w:pPr>
              <w:spacing w:after="0"/>
              <w:rPr>
                <w:sz w:val="16"/>
                <w:szCs w:val="16"/>
                <w:color w:val="auto"/>
              </w:rPr>
            </w:pPr>
          </w:p>
        </w:tc>
        <w:tc>
          <w:tcPr>
            <w:tcW w:w="4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30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220" w:type="dxa"/>
            <w:vAlign w:val="bottom"/>
          </w:tcPr>
          <w:p>
            <w:pPr>
              <w:spacing w:after="0"/>
              <w:rPr>
                <w:sz w:val="16"/>
                <w:szCs w:val="16"/>
                <w:color w:val="auto"/>
              </w:rPr>
            </w:pPr>
          </w:p>
        </w:tc>
        <w:tc>
          <w:tcPr>
            <w:tcW w:w="5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expenses</w:t>
            </w:r>
          </w:p>
        </w:tc>
        <w:tc>
          <w:tcPr>
            <w:tcW w:w="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-2614295</wp:posOffset>
            </wp:positionV>
            <wp:extent cx="1117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-2614295</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-2614295</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-2614295</wp:posOffset>
            </wp:positionV>
            <wp:extent cx="111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-2030730</wp:posOffset>
            </wp:positionV>
            <wp:extent cx="1117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-2030730</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-2030730</wp:posOffset>
            </wp:positionV>
            <wp:extent cx="1111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-2030730</wp:posOffset>
            </wp:positionV>
            <wp:extent cx="111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-1448435</wp:posOffset>
            </wp:positionV>
            <wp:extent cx="1117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-1448435</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-1448435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-1448435</wp:posOffset>
            </wp:positionV>
            <wp:extent cx="1117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-864870</wp:posOffset>
            </wp:positionV>
            <wp:extent cx="1117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-864870</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-864870</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-864870</wp:posOffset>
            </wp:positionV>
            <wp:extent cx="1117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-282575</wp:posOffset>
            </wp:positionV>
            <wp:extent cx="1117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-282575</wp:posOffset>
            </wp:positionV>
            <wp:extent cx="1111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-282575</wp:posOffset>
            </wp:positionV>
            <wp:extent cx="1111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-282575</wp:posOffset>
            </wp:positionV>
            <wp:extent cx="1117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3" w:lineRule="exact"/>
        <w:rPr>
          <w:sz w:val="20"/>
          <w:szCs w:val="20"/>
          <w:color w:val="auto"/>
        </w:rPr>
      </w:pPr>
    </w:p>
    <w:p>
      <w:pPr>
        <w:ind w:left="660" w:right="920" w:firstLine="4"/>
        <w:spacing w:after="0" w:line="315" w:lineRule="auto"/>
        <w:tabs>
          <w:tab w:leader="none" w:pos="9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Gross margin difference between the supplemental segment and consolidated results primarily reflects non-allocated severance expense of $0.1 million and $0.3 million recorded in cost of goods sold during the third quarter of 2026 and 2025 respectively.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40" w:type="dxa"/>
            <w:vAlign w:val="bottom"/>
            <w:gridSpan w:val="6"/>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4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00" w:type="dxa"/>
            <w:vAlign w:val="bottom"/>
            <w:vMerge w:val="continue"/>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Expenses:</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1,109</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1,282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operations expenses</w:t>
            </w: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2,391</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General &amp; Administrative Expenses:</w:t>
            </w:r>
          </w:p>
        </w:tc>
        <w:tc>
          <w:tcPr>
            <w:tcW w:w="7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2,577</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3,732</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6,309</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 (loss):</w:t>
            </w:r>
          </w:p>
        </w:tc>
        <w:tc>
          <w:tcPr>
            <w:tcW w:w="7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&amp; AI</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Talent</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Cost:</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(650)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7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(937)</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Severance expense</w:t>
            </w:r>
          </w:p>
        </w:tc>
        <w:tc>
          <w:tcPr>
            <w:tcW w:w="7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6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Interest income (expense), FX, gains (losses)</w:t>
            </w:r>
          </w:p>
        </w:tc>
        <w:tc>
          <w:tcPr>
            <w:tcW w:w="700" w:type="dxa"/>
            <w:vAlign w:val="bottom"/>
            <w:shd w:val="clear" w:color="auto" w:fill="CFF0FC"/>
          </w:tcPr>
          <w:p>
            <w:pPr>
              <w:spacing w:after="0"/>
              <w:rPr>
                <w:sz w:val="17"/>
                <w:szCs w:val="17"/>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FF0FC"/>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and other, net</w:t>
            </w:r>
          </w:p>
        </w:tc>
        <w:tc>
          <w:tcPr>
            <w:tcW w:w="7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20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3713480</wp:posOffset>
            </wp:positionH>
            <wp:positionV relativeFrom="paragraph">
              <wp:posOffset>-3205480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-3205480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-3205480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-3205480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3713480</wp:posOffset>
            </wp:positionH>
            <wp:positionV relativeFrom="paragraph">
              <wp:posOffset>-2622550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-2622550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-2622550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-2622550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3713480</wp:posOffset>
            </wp:positionH>
            <wp:positionV relativeFrom="paragraph">
              <wp:posOffset>-2039620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-2039620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-2039620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-2039620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3713480</wp:posOffset>
            </wp:positionH>
            <wp:positionV relativeFrom="paragraph">
              <wp:posOffset>-1079500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-1079500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5393690</wp:posOffset>
            </wp:positionH>
            <wp:positionV relativeFrom="paragraph">
              <wp:posOffset>-1079500</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6233795</wp:posOffset>
            </wp:positionH>
            <wp:positionV relativeFrom="paragraph">
              <wp:posOffset>-1079500</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w:t>
      </w:r>
    </w:p>
    <w:p>
      <w:pPr>
        <w:spacing w:after="0" w:line="23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240" w:type="dxa"/>
            <w:vAlign w:val="bottom"/>
            <w:vMerge w:val="continue"/>
          </w:tcPr>
          <w:p>
            <w:pPr>
              <w:spacing w:after="0"/>
              <w:rPr>
                <w:sz w:val="12"/>
                <w:szCs w:val="12"/>
                <w:color w:val="auto"/>
              </w:rPr>
            </w:pPr>
          </w:p>
        </w:tc>
        <w:tc>
          <w:tcPr>
            <w:tcW w:w="1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40,791</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121,751</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and Other</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124,517</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-170815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-170815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-170815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0" w:firstLine="441"/>
        <w:spacing w:after="0" w:line="266" w:lineRule="auto"/>
        <w:rPr>
          <w:sz w:val="20"/>
          <w:szCs w:val="20"/>
          <w:color w:val="auto"/>
        </w:rPr>
      </w:pPr>
      <w:r>
        <w:rPr>
          <w:rFonts w:ascii="Times New Roman" w:cs="Times New Roman" w:eastAsia="Times New Roman" w:hAnsi="Times New Roman"/>
          <w:sz w:val="18"/>
          <w:szCs w:val="18"/>
          <w:color w:val="auto"/>
        </w:rPr>
        <w:t>The Company does not disclose total assets by reportable segment, as such information is not regularly provided to the Company’s Chief Operating Decision Maker (“CODM”). A significant portion of the Company’s assets is utilized across both segments and is not specifically attributable to individual segments.</w:t>
      </w:r>
    </w:p>
    <w:p>
      <w:pPr>
        <w:spacing w:after="0" w:line="200" w:lineRule="exact"/>
        <w:rPr>
          <w:sz w:val="20"/>
          <w:szCs w:val="20"/>
          <w:color w:val="auto"/>
        </w:rPr>
      </w:pPr>
    </w:p>
    <w:p>
      <w:pPr>
        <w:spacing w:after="0" w:line="323" w:lineRule="exact"/>
        <w:rPr>
          <w:sz w:val="20"/>
          <w:szCs w:val="20"/>
          <w:color w:val="auto"/>
        </w:rPr>
      </w:pPr>
    </w:p>
    <w:p>
      <w:pPr>
        <w:ind w:left="440" w:hanging="436"/>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is evaluating the impact of the ASU on its financial disclosures.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amendments in this ASU introduce a practical expedient for all entities and provide entities other than public business entities with an accounting policy election when applying Topic 326 to current accounts receivable and contract assets arising from transactions under Topic 606, Revenue from Contracts with Customers. The practical expedient is intended to simplify the estimation of expected credit losses for short-term trade receivables and contract assets when such losses are expected to be immaterial. The amendments are effective for fiscal years beginning after December 15, 2025, including interim periods within those fiscal years. Early adoption is permitted. The Company adopted ASU 2025-05 on January 1, 2026. The adoption did not have a material impact on the Company's condensed consolidated financial statements.</w:t>
      </w:r>
    </w:p>
    <w:p>
      <w:pPr>
        <w:spacing w:after="0" w:line="192" w:lineRule="exact"/>
        <w:rPr>
          <w:sz w:val="20"/>
          <w:szCs w:val="20"/>
          <w:color w:val="auto"/>
        </w:rPr>
      </w:pPr>
    </w:p>
    <w:p>
      <w:pPr>
        <w:ind w:right="660" w:firstLine="441"/>
        <w:spacing w:after="0" w:line="261"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51"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2025, included in our Annual Report on Form 10-K, filed with the Securities and Exchange Commission (“SEC”) on March 18, 2026.</w:t>
      </w:r>
    </w:p>
    <w:p>
      <w:pPr>
        <w:spacing w:after="0" w:line="176" w:lineRule="exact"/>
        <w:rPr>
          <w:sz w:val="20"/>
          <w:szCs w:val="20"/>
          <w:color w:val="auto"/>
        </w:rPr>
      </w:pPr>
    </w:p>
    <w:p>
      <w:pPr>
        <w:ind w:right="80" w:firstLine="4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2025.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3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Company’s website is www.mastechdigital.com. The Company’s Annual Report on Form 10-K for the year ended December 31, 2025,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2025 for a more detailed discussion of our significant accounting policies and critical accounting estimates. There were no material changes to these critical accounting policies during the nine months ended September 30, 2026.</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On January 12, 2024, the Company entered into a consulting services agreement with Primentor, Inc. (“Primentor”) under which Primentor provides to the Company strategic advisory and management consulting services, as well as other business and organizational strategy services as requested by the Company’s Board of Directors. The initial term of the agreement is three years, commencing on January 12, 2024. The Company may elect to renew the agreement for successive one-year terms, subject to mutual agreement with Primentor regarding the scope of services and related fees.</w:t>
      </w:r>
    </w:p>
    <w:p>
      <w:pPr>
        <w:spacing w:after="0" w:line="75"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During 2024 and 2025, the Company incurred consulting expenses of approximately $1.1 million and $0.3 million, respectively. The Company expects to incur approximately $0.2 million in consulting expenses during 2026, plus reimbursement of reasonable and documented out-of-pocket expenses incurred by Primentor in rendering such services.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Transition of the Company’s finance and accounting functions to India:</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Company’s Board of Directors made the decision to implement a long-term cost-cutting initiative to transition the Company’s finance and accounting functions to India. During 2025, the Company incurred $1.2 million of severance costs and $0.7 million of costs related to the duplication of resources and travel expenses during the training and knowledge transfer process. The transition was completed as of December 31,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We are a provider of digital transformation IT services to primarily large and medium-sized organizations. Our portfolio combines project-based professional services with flexible staffing solutions to support our clients’ evolving digital and technology needs.</w:t>
      </w:r>
    </w:p>
    <w:p>
      <w:pPr>
        <w:spacing w:after="0" w:line="176"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Effective January 1, 2026, we realigned our reporting structure and now operate through two reportable segments: Talent and Data &amp; AI. This change reflects how management evaluates performance and allocates resources across our core offerings. Prior-period information has been recast to conform to the current presentation.</w:t>
      </w:r>
    </w:p>
    <w:p>
      <w:pPr>
        <w:spacing w:after="0" w:line="17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Our Data &amp; AI segment is focused on delivering consulting and managed services engagements that help clients design, build, and optimize their data and digital platforms. These offerings are typically delivered on a project or managed services basis and leverage a combination of on-site and offshore delivery capabilities. Our Data &amp; AI capabilities have been developed both organically and through acquisitions, including InfoTrellis in 2017, which expanded our data and analytics expertise, and AmberLeaf in 2020, which strengthened our customer experience and managed services offerings.</w:t>
      </w:r>
    </w:p>
    <w:p>
      <w:pPr>
        <w:spacing w:after="0" w:line="183"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Our Talent segment provides staffing solutions that enable clients to access skilled technology professionals across a broad range of digital and mainstream IT disciplines. These engagements include both direct client relationships and intermediated arrangements through managed service providers and systems integrators. This segment allows clients to scale their technology teams efficiently while maintaining flexibility in response to changing business conditions.</w:t>
      </w:r>
    </w:p>
    <w:p>
      <w:pPr>
        <w:spacing w:after="0" w:line="180" w:lineRule="exact"/>
        <w:rPr>
          <w:sz w:val="20"/>
          <w:szCs w:val="20"/>
          <w:color w:val="auto"/>
        </w:rPr>
      </w:pPr>
    </w:p>
    <w:p>
      <w:pPr>
        <w:ind w:right="540" w:firstLine="441"/>
        <w:spacing w:after="0" w:line="266" w:lineRule="auto"/>
        <w:rPr>
          <w:sz w:val="20"/>
          <w:szCs w:val="20"/>
          <w:color w:val="auto"/>
        </w:rPr>
      </w:pPr>
      <w:r>
        <w:rPr>
          <w:rFonts w:ascii="Times New Roman" w:cs="Times New Roman" w:eastAsia="Times New Roman" w:hAnsi="Times New Roman"/>
          <w:sz w:val="18"/>
          <w:szCs w:val="18"/>
          <w:color w:val="auto"/>
        </w:rPr>
        <w:t>Across both segments, we serve a diversified set of industries, including financial services, government, healthcare, manufacturing, retail, technology, telecommunications, and transportation. Our client base includes organizations with ongoing technology investment needs, as well as those undertaking discrete digital transformation initiatives.</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Data &amp; AI Segment:</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new bookings within our Data &amp; AI segment, which represents the estimated value of client engagements, including renewals and extensions of existing contracts. We believe this metric provides useful insight into trends in the volume of new business over time. New bookings can vary significantly from period to period due to the timing of contract awards, particularly for larger engagements. The conversion of bookings into revenue is influenced by several factors, including the nature and scope of services, contract duration, and the pace of client spending. Additionally, substantially all of our client contracts are terminable by the client on short notice, with little or no termination penalties. New bookings involve estimates and judgments, and there are no third-party standards governing their calculation. Accordingly, bookings should not be considered a substitute for, or comparable to, revenue measures. We do not update previously reported bookings for subsequent contract modifications, terminations, or reductions.</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business outlook is influenced by general economic conditions in North America and globally. Demand for our services, particularly within the Talent segment, is closely tied to employment levels, corporate spending, and overall economic activity. Periods of economic expansion typically lead to increased demand for our services, while periods of economic uncertainty or contraction may result in reduced client spending. In recent periods, economic conditions have been characterized by ongoing uncertainty, including inflationary pressures, interest rate volatility, and evolving trade and immigration policies. These dynamics have contributed to longer client decision-making cycles and more cautious spending patterns.</w:t>
      </w:r>
    </w:p>
    <w:p>
      <w:pPr>
        <w:spacing w:after="0" w:line="187" w:lineRule="exact"/>
        <w:rPr>
          <w:sz w:val="20"/>
          <w:szCs w:val="20"/>
          <w:color w:val="auto"/>
        </w:rPr>
      </w:pPr>
    </w:p>
    <w:p>
      <w:pPr>
        <w:jc w:val="both"/>
        <w:ind w:right="240" w:firstLine="441"/>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generated from a limited number of clients. As a result, our operating results may be impacted by the financial condition and spending patterns of these clients, which may cause our performance to differ from broader market trends.</w:t>
      </w:r>
    </w:p>
    <w:p>
      <w:pPr>
        <w:spacing w:after="0" w:line="176"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Within the Talent segment, a meaningful portion of revenues is generated through relationships with systems integrators and managed service providers (“MSPs”). These arrangements may exert pressure on pricing and margins over time.</w:t>
      </w:r>
    </w:p>
    <w:p>
      <w:pPr>
        <w:sectPr>
          <w:pgSz w:w="11900" w:h="16838" w:orient="portrait"/>
          <w:cols w:equalWidth="0" w:num="1">
            <w:col w:w="9720"/>
          </w:cols>
          <w:pgMar w:left="1080" w:top="117" w:right="109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2026 as Compared to the Three Months Ended September 30, 2025:</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Revenues for the three months ended September 30, 2026 totaled $42.0 million, compared to $48.5 million for the corresponding three-month period in 2025. This 13.4% year-over-year revenue decrease reflected a 16.4% revenue decrease in our Talent segment and a 6.8% decline in our Data &amp; AI segment. For the three months ended September 30, 2026, the Company had one client that had revenues in excess of 10% of total revenues (Fidelity 28.5%). For the three months ended September 30, 2025, the Company had three clients that each had revenues in excess of 10% of total revenues (Fidelity = 18.1%, Populus = 12.7% and CGI = 10.4%). The Company’s top ten clients represented approximately 62% and 59% of total revenues for the three months ended September 30, 2026 and 2025, respectively.</w:t>
      </w:r>
    </w:p>
    <w:p>
      <w:pPr>
        <w:spacing w:after="0" w:line="351"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September 30, 2026 and 2025, respectively:</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2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&amp; AI</w:t>
            </w:r>
          </w:p>
        </w:tc>
        <w:tc>
          <w:tcPr>
            <w:tcW w:w="6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Talent</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-25400</wp:posOffset>
            </wp:positionV>
            <wp:extent cx="431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-7620</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-25400</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-7620</wp:posOffset>
            </wp:positionV>
            <wp:extent cx="431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from our Data &amp; AI segment totaled $14.1 million in the three months ended September 30, 2026, which decreased compared to $15.2 million in the corresponding period last year. The decrease in Data &amp; AI revenues primarily reflects lower time-and-material and staff augmentation engagement volumes compared to the prior-year period, partially offset by increased revenue from fixed-price projects. While bookings have increased during 2026, the associated revenue contribution from recently awarded projects has not yet fully offset the decline in revenue from existing engagements. New bookings in the third quarter of 2026 totaled approximately $10.8 million, compared to bookings of $8.4 million in the third quarter of 2025, reflecting stronger demand for Data &amp; AI services.</w:t>
      </w:r>
    </w:p>
    <w:p>
      <w:pPr>
        <w:spacing w:after="0" w:line="189"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Revenues from our Talent segment totaled $27.9 million in the three months ended September 30, 2026, compared to $33.3 million during the corresponding 2025 period. The year-over-year decline in revenue primarily reflects lower billable consultants in 2026. Billable consultants at September 30, 2026 totaled 580-consultants compared to 734-consultants one year earlier. Our average bill rate during the third quarter of 2026 was $92.37 per hour compared to $89.65 per hour in the corresponding 2025 quarter. The increase in average bill rate was due to higher value assignments during the third quarter of 2026 and was reflective of the types of skill sets that we deployed to clients.</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2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Gross profit for the third quarter of 2026 totaled $12.0 million, a decrease of $1.4 million compared to the third quarter of 2025. Gross margin was 28.7% in the third quarter of 2026 compared to 27.8% in the corresponding 2025 period. Excluding severance expenses of $0.1 million and $0.3 million in the third quarters of 2026 and 2025, respectively, gross margin increased 70 basis points to 29.0% from 28.3%. This increase was driven by higher gross margins in both the Talent and Data &amp; AI segments.</w:t>
      </w:r>
    </w:p>
    <w:p>
      <w:pPr>
        <w:spacing w:after="0" w:line="18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September 30, 2026 and 2025, respectively:</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Gross Margin </w:t>
            </w:r>
            <w:r>
              <w:rPr>
                <w:rFonts w:ascii="Times New Roman" w:cs="Times New Roman" w:eastAsia="Times New Roman" w:hAnsi="Times New Roman"/>
                <w:sz w:val="14"/>
                <w:szCs w:val="14"/>
                <w:b w:val="1"/>
                <w:bCs w:val="1"/>
                <w:i w:val="1"/>
                <w:iCs w:val="1"/>
                <w:color w:val="auto"/>
              </w:rPr>
              <w:t>(excludes severance expense)</w:t>
            </w:r>
          </w:p>
        </w:tc>
        <w:tc>
          <w:tcPr>
            <w:tcW w:w="10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&amp; AI</w:t>
            </w:r>
          </w:p>
        </w:tc>
        <w:tc>
          <w:tcPr>
            <w:tcW w:w="1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Talent</w:t>
            </w:r>
          </w:p>
        </w:tc>
        <w:tc>
          <w:tcPr>
            <w:tcW w:w="1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gross margin</w:t>
            </w: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-25400</wp:posOffset>
            </wp:positionV>
            <wp:extent cx="1111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-8255</wp:posOffset>
            </wp:positionV>
            <wp:extent cx="111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-25400</wp:posOffset>
            </wp:positionV>
            <wp:extent cx="111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-8255</wp:posOffset>
            </wp:positionV>
            <wp:extent cx="1111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Gross margins from our Data &amp; AI segment were 40.5% of revenues during the third quarter of 2026, which represented an increase of 50-basis points compared to 40.0% of revenues during the third quarter of 2025. The increase primarily reflected normal fluctuations in project mix and engagement profitability. Including severance expenses of $0.1 million and $0.3 million in the third quarters of 2026 and 2025, respectively, gross margin for the segment increased to 39.7% in 2026 from 38.3% in 2025.</w:t>
      </w:r>
    </w:p>
    <w:p>
      <w:pPr>
        <w:sectPr>
          <w:pgSz w:w="11900" w:h="16838" w:orient="portrait"/>
          <w:cols w:equalWidth="0" w:num="1">
            <w:col w:w="9700"/>
          </w:cols>
          <w:pgMar w:left="1080" w:top="117" w:right="111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Gross margins from our Talent segment were 23.1% in the third quarter of 2026 compared to 23.0% during the corresponding quarter of 2025. This 10-basis point increase was due to higher quality placements and better pricing on new assignments in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three months ended September 30, 2026 and 2025, respectively:</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89"/>
        </w:trPr>
        <w:tc>
          <w:tcPr>
            <w:tcW w:w="152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Data &amp; AI Segment</w:t>
            </w:r>
          </w:p>
        </w:tc>
        <w:tc>
          <w:tcPr>
            <w:tcW w:w="23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top w:val="single" w:sz="8" w:color="auto"/>
              <w:bottom w:val="single" w:sz="8" w:color="CFF0FC"/>
            </w:tcBorders>
            <w:shd w:val="clear" w:color="auto" w:fill="CFF0FC"/>
          </w:tcPr>
          <w:p>
            <w:pPr>
              <w:spacing w:after="0"/>
              <w:rPr>
                <w:sz w:val="16"/>
                <w:szCs w:val="16"/>
                <w:color w:val="auto"/>
              </w:rPr>
            </w:pPr>
          </w:p>
        </w:tc>
        <w:tc>
          <w:tcPr>
            <w:tcW w:w="8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top w:val="single" w:sz="8" w:color="auto"/>
              <w:bottom w:val="single" w:sz="8" w:color="CFF0FC"/>
            </w:tcBorders>
            <w:shd w:val="clear" w:color="auto" w:fill="CFF0FC"/>
          </w:tcPr>
          <w:p>
            <w:pPr>
              <w:spacing w:after="0"/>
              <w:rPr>
                <w:sz w:val="16"/>
                <w:szCs w:val="16"/>
                <w:color w:val="auto"/>
              </w:rPr>
            </w:pPr>
          </w:p>
        </w:tc>
        <w:tc>
          <w:tcPr>
            <w:tcW w:w="780" w:type="dxa"/>
            <w:vAlign w:val="bottom"/>
            <w:tcBorders>
              <w:top w:val="single" w:sz="8" w:color="auto"/>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r>
      <w:tr>
        <w:trPr>
          <w:trHeight w:val="216"/>
        </w:trPr>
        <w:tc>
          <w:tcPr>
            <w:tcW w:w="3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FF0FC"/>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r>
      <w:tr>
        <w:trPr>
          <w:trHeight w:val="249"/>
        </w:trPr>
        <w:tc>
          <w:tcPr>
            <w:tcW w:w="38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Data &amp; AI</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60" w:type="dxa"/>
            <w:vAlign w:val="bottom"/>
            <w:shd w:val="clear" w:color="auto" w:fill="CFF0FC"/>
          </w:tcPr>
          <w:p>
            <w:pPr>
              <w:spacing w:after="0"/>
              <w:rPr>
                <w:sz w:val="21"/>
                <w:szCs w:val="21"/>
                <w:color w:val="auto"/>
              </w:rPr>
            </w:pPr>
          </w:p>
        </w:tc>
      </w:tr>
      <w:tr>
        <w:trPr>
          <w:trHeight w:val="156"/>
        </w:trPr>
        <w:tc>
          <w:tcPr>
            <w:tcW w:w="388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Talent Segment</w:t>
            </w:r>
          </w:p>
        </w:tc>
        <w:tc>
          <w:tcPr>
            <w:tcW w:w="5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21"/>
        </w:trPr>
        <w:tc>
          <w:tcPr>
            <w:tcW w:w="12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r>
      <w:tr>
        <w:trPr>
          <w:trHeight w:val="216"/>
        </w:trPr>
        <w:tc>
          <w:tcPr>
            <w:tcW w:w="38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5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38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Talent</w:t>
            </w: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6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8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74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FF0FC"/>
          </w:tcPr>
          <w:p>
            <w:pPr>
              <w:spacing w:after="0"/>
              <w:rPr>
                <w:sz w:val="17"/>
                <w:szCs w:val="17"/>
                <w:color w:val="auto"/>
              </w:rPr>
            </w:pPr>
          </w:p>
        </w:tc>
      </w:tr>
      <w:tr>
        <w:trPr>
          <w:trHeight w:val="216"/>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r>
      <w:tr>
        <w:trPr>
          <w:trHeight w:val="256"/>
        </w:trPr>
        <w:tc>
          <w:tcPr>
            <w:tcW w:w="38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5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Borders>
              <w:bottom w:val="single" w:sz="8" w:color="CFF0FC"/>
            </w:tcBorders>
            <w:shd w:val="clear" w:color="auto" w:fill="CFF0FC"/>
          </w:tcPr>
          <w:p>
            <w:pPr>
              <w:spacing w:after="0"/>
              <w:rPr>
                <w:sz w:val="22"/>
                <w:szCs w:val="22"/>
                <w:color w:val="auto"/>
              </w:rPr>
            </w:pPr>
          </w:p>
        </w:tc>
      </w:tr>
      <w:tr>
        <w:trPr>
          <w:trHeight w:val="196"/>
        </w:trPr>
        <w:tc>
          <w:tcPr>
            <w:tcW w:w="38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SG&amp;A Expenses</w:t>
            </w:r>
          </w:p>
        </w:tc>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12.0</w:t>
            </w:r>
          </w:p>
        </w:tc>
        <w:tc>
          <w:tcPr>
            <w:tcW w:w="74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12.6</w:t>
            </w:r>
          </w:p>
        </w:tc>
        <w:tc>
          <w:tcPr>
            <w:tcW w:w="6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4237355</wp:posOffset>
            </wp:positionH>
            <wp:positionV relativeFrom="paragraph">
              <wp:posOffset>-1344930</wp:posOffset>
            </wp:positionV>
            <wp:extent cx="431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-1328420</wp:posOffset>
            </wp:positionV>
            <wp:extent cx="431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-1344930</wp:posOffset>
            </wp:positionV>
            <wp:extent cx="431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-1328420</wp:posOffset>
            </wp:positionV>
            <wp:extent cx="431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-770890</wp:posOffset>
            </wp:positionV>
            <wp:extent cx="431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-770890</wp:posOffset>
            </wp:positionV>
            <wp:extent cx="431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-187960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-170815</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-187960</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-170815</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September 30, 2026, totaled $12.0 million or 28.6% of total revenues, compared to $12.6 million or 26.0% of total revenues for the three months ended September 30, 2025. When excluding the amortization of acquired intangible assets in both periods and the severance expense and finance and accounting transition expense in 2025, SG&amp;A expense as a percentage of total revenues was 27.1% and 21.0%, respectively.</w:t>
      </w:r>
    </w:p>
    <w:p>
      <w:pPr>
        <w:spacing w:after="0" w:line="180" w:lineRule="exact"/>
        <w:rPr>
          <w:sz w:val="20"/>
          <w:szCs w:val="20"/>
          <w:color w:val="auto"/>
        </w:rPr>
      </w:pPr>
    </w:p>
    <w:p>
      <w:pPr>
        <w:ind w:right="620" w:firstLine="441"/>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third quarter of 2026, compared to the third quarter of 2025, included the following:</w:t>
      </w:r>
    </w:p>
    <w:p>
      <w:pPr>
        <w:spacing w:after="0" w:line="54" w:lineRule="exact"/>
        <w:rPr>
          <w:sz w:val="20"/>
          <w:szCs w:val="20"/>
          <w:color w:val="auto"/>
        </w:rPr>
      </w:pPr>
    </w:p>
    <w:p>
      <w:pPr>
        <w:ind w:left="760" w:right="60" w:hanging="315"/>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 was flat from the corresponding 2025 period. Sales and marketing expense in our Data &amp; AI segment increased by $0.4 million, primarily reflecting higher payroll and related costs, as well as an increase in marketing costs. Sales and marketing expense in our Talent segment decreased by $0.4 million, primarily due to lower payroll and related costs.</w:t>
      </w:r>
    </w:p>
    <w:p>
      <w:pPr>
        <w:spacing w:after="0" w:line="71" w:lineRule="exact"/>
        <w:rPr>
          <w:rFonts w:ascii="Times New Roman" w:cs="Times New Roman" w:eastAsia="Times New Roman" w:hAnsi="Times New Roman"/>
          <w:sz w:val="18"/>
          <w:szCs w:val="18"/>
          <w:color w:val="auto"/>
        </w:rPr>
      </w:pPr>
    </w:p>
    <w:p>
      <w:pPr>
        <w:ind w:left="760" w:hanging="315"/>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increased by $0.5 million in the 2026 period compared to the corresponding 2025 period. Operations expense increased by $0.8 million in our Data &amp; AI segment due to AI-related personnel investments and decreased by $0.3 million in our Talent segment due to lower payroll and related costs.</w:t>
      </w:r>
    </w:p>
    <w:p>
      <w:pPr>
        <w:spacing w:after="0" w:line="67" w:lineRule="exact"/>
        <w:rPr>
          <w:rFonts w:ascii="Times New Roman" w:cs="Times New Roman" w:eastAsia="Times New Roman" w:hAnsi="Times New Roman"/>
          <w:sz w:val="18"/>
          <w:szCs w:val="18"/>
          <w:color w:val="auto"/>
        </w:rPr>
      </w:pPr>
    </w:p>
    <w:p>
      <w:pPr>
        <w:ind w:left="760" w:right="380" w:hanging="315"/>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$0.7 million in the 2026 period compared to the corresponding 2025 period. General and administrative expenses in the Data &amp; AI segment were unchanged compared with the prior-year period. General and administrative expenses in the Talent segment increased by $0.7 million, primarily reflecting $0.5 million in higher salary and related costs, and an increase in both legal expenses and facilities costs.</w:t>
      </w:r>
    </w:p>
    <w:p>
      <w:pPr>
        <w:spacing w:after="0" w:line="71" w:lineRule="exact"/>
        <w:rPr>
          <w:rFonts w:ascii="Times New Roman" w:cs="Times New Roman" w:eastAsia="Times New Roman" w:hAnsi="Times New Roman"/>
          <w:sz w:val="18"/>
          <w:szCs w:val="18"/>
          <w:color w:val="auto"/>
        </w:rPr>
      </w:pPr>
    </w:p>
    <w:p>
      <w:pPr>
        <w:ind w:left="760" w:hanging="315"/>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decreased slightly to $0.6 million, as some intangibles became fully amortized.</w:t>
      </w:r>
    </w:p>
    <w:p>
      <w:pPr>
        <w:spacing w:after="0" w:line="117" w:lineRule="exact"/>
        <w:rPr>
          <w:rFonts w:ascii="Times New Roman" w:cs="Times New Roman" w:eastAsia="Times New Roman" w:hAnsi="Times New Roman"/>
          <w:sz w:val="18"/>
          <w:szCs w:val="18"/>
          <w:color w:val="auto"/>
        </w:rPr>
      </w:pPr>
    </w:p>
    <w:p>
      <w:pPr>
        <w:ind w:left="760" w:right="280" w:hanging="315"/>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transition expense was $0.9 million and severance expense was $0.8 million in the 2025 period, compared to no significant expense in the third quarter of 2026. These costs related to the Company's transition of its finance and accounting function to India and consisted primarily of severance, duplicate personnel costs during the transition period, and travel associated with training and knowledge transfer.</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Other Income / (Expense) for the three months ended September 30, 2026, consisted of interest income of $266,000 and foreign exchange losses of ($29,000). For the three months ended September 30, 2025, Other Income / (Expense) consisted of interest income of $266,000 and foreign exchange gains of $149,000.</w:t>
      </w:r>
    </w:p>
    <w:p>
      <w:pPr>
        <w:sectPr>
          <w:pgSz w:w="11900" w:h="16838" w:orient="portrait"/>
          <w:cols w:equalWidth="0" w:num="1">
            <w:col w:w="9700"/>
          </w:cols>
          <w:pgMar w:left="1080" w:top="117" w:right="111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2026, totaled $243,000, representing an effective tax rate on pre-tax income of 97.2%, compared with income tax expense of $294,000 for the three months ended September 30, 2025, which represented an effective tax rate on pre-tax income of 23.8%. The 2026 effective tax rate was significantly higher than the statutory rate, primarily due to non-deductible executive compensation, foreign and other items, and state taxes, applied to near break-even pre-tax income of $250,000.</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2026 as Compared to the Nine Months Ended September 30, 2025:</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Revenues for the nine months ended September 30, 2026 totaled $124.5 million, compared to $145.9 million for the corresponding nine-month period in 2025. This 14.7% year-over-year revenue decrease reflected a 14.8% revenue decrease in our Talent segment and a 14.3% decline in our Data &amp; AI segment. For the nine months ended September 30, 2026 the Company had one client that had revenues in excess of 10% of total revenues (Fidelity 26.6%). For the nine months ended September 30, 2025, the Company had three clients that each had revenues in excess of 10% of total revenues (Fidelity = 15.4%, Populus = 12.3% and CGI = 11.1%). The Company’s top ten clients represented approximately 60% and 58% of total revenues for the nine months ended September 30, 2026 and 2025, respectively.</w:t>
      </w:r>
    </w:p>
    <w:p>
      <w:pPr>
        <w:spacing w:after="0" w:line="351"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nine months ended September 30, 2026 and 2025,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&amp; AI</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Talent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-24765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Revenues from our Data &amp; AI segment totaled $40.2 million for the nine months ended September 30, 2026, which decreased compared to $46.9 million in the corresponding period in 2025. The decrease in Data &amp; AI revenues primarily reflects lower time-and-material and staff augmentation engagement volumes entering 2026, partially offset by higher fixed-price revenue in the third quarter. As newer projects ramp up, the year-over-year revenue decline has moderated in recent quarters. Order bookings for the first nine months of 2026 totaled approximately $38.0 million, compared with $32.7 million for the corresponding period in 2025, reflecting stronger demand for Data &amp; AI services.</w:t>
      </w:r>
    </w:p>
    <w:p>
      <w:pPr>
        <w:spacing w:after="0" w:line="187"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Revenues from our Talent segment totaled $84.3 million in the nine months ended September 30, 2026, compared to $99.0 million during the corresponding 2025 period. The year-over-year decline in revenue primarily reflects lower billable consultants in 2026. Billable consultants at September 30, 2026 totaled 580-consultants compared to 734-consultants one year earlier.</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29" w:lineRule="exact"/>
        <w:rPr>
          <w:sz w:val="20"/>
          <w:szCs w:val="20"/>
          <w:color w:val="auto"/>
        </w:rPr>
      </w:pPr>
    </w:p>
    <w:p>
      <w:pPr>
        <w:ind w:right="340" w:firstLine="441"/>
        <w:spacing w:after="0" w:line="253" w:lineRule="auto"/>
        <w:rPr>
          <w:sz w:val="20"/>
          <w:szCs w:val="20"/>
          <w:color w:val="auto"/>
        </w:rPr>
      </w:pPr>
      <w:r>
        <w:rPr>
          <w:rFonts w:ascii="Times New Roman" w:cs="Times New Roman" w:eastAsia="Times New Roman" w:hAnsi="Times New Roman"/>
          <w:sz w:val="18"/>
          <w:szCs w:val="18"/>
          <w:color w:val="auto"/>
        </w:rPr>
        <w:t>Gross profits in the nine months ended September 30, 2026 totaled $35.1 million compared to $40.2 million in the corresponding period last year. Gross profit as a percentage of revenue was 28.2% for the nine months ended September 30, 2026, compared to 27.5% during the same period of 2025. Excluding severance expenses of $0.1 million and $0.3 million for the nine months ended September 30, 2026 and 2025, respectively, gross margin increased 60 basis points to 28.3% from 27.7%.</w:t>
      </w:r>
    </w:p>
    <w:p>
      <w:pPr>
        <w:spacing w:after="0" w:line="200" w:lineRule="exact"/>
        <w:rPr>
          <w:sz w:val="20"/>
          <w:szCs w:val="20"/>
          <w:color w:val="auto"/>
        </w:rPr>
      </w:pPr>
    </w:p>
    <w:p>
      <w:pPr>
        <w:spacing w:after="0" w:line="205"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nine months ended September 30, 2026 and 2025,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 (excludes severance expense)</w:t>
            </w:r>
          </w:p>
        </w:tc>
        <w:tc>
          <w:tcPr>
            <w:tcW w:w="140" w:type="dxa"/>
            <w:vAlign w:val="bottom"/>
          </w:tcPr>
          <w:p>
            <w:pPr>
              <w:spacing w:after="0"/>
              <w:rPr>
                <w:sz w:val="13"/>
                <w:szCs w:val="13"/>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&amp; AI</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39.4%</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Talent</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22.9%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gross margin</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28.3%</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-25400</wp:posOffset>
            </wp:positionV>
            <wp:extent cx="1111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-8255</wp:posOffset>
            </wp:positionV>
            <wp:extent cx="1111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-25400</wp:posOffset>
            </wp:positionV>
            <wp:extent cx="1117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6062980</wp:posOffset>
            </wp:positionH>
            <wp:positionV relativeFrom="paragraph">
              <wp:posOffset>-8255</wp:posOffset>
            </wp:positionV>
            <wp:extent cx="1117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Gross margins from our Data &amp; AI segment were 39.4% of revenues during the nine months ended September 30, 2026, which represented an increase of 50-basis points compared to 38.9% of revenues during the corresponding period of 2025. The increase primarily reflected normal fluctuations in project mix and engagement profitability. Including severance expenses of $0.1 million and $0.3 million for the nine months ended September 30, 2026 and 2025, respectively, gross margin for the segment increased to 39.2% in 2026 from 38.3% in 2025.</w:t>
      </w:r>
    </w:p>
    <w:p>
      <w:pPr>
        <w:spacing w:after="0" w:line="183"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Gross margins from our Talent segment were 22.9% in the nine months ended September 30, 2026, compared to 22.4% during the corresponding period of 2025. This 50-basis point increase was due to higher quality placements and better pricing on new assignments in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nine months ended September 30, 2026 and 2025,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 amounts may not sum due to rounding)</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90"/>
        </w:trPr>
        <w:tc>
          <w:tcPr>
            <w:tcW w:w="152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Data &amp; AI Segment</w:t>
            </w:r>
          </w:p>
        </w:tc>
        <w:tc>
          <w:tcPr>
            <w:tcW w:w="40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top w:val="single" w:sz="8" w:color="auto"/>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6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tcPr>
          <w:p>
            <w:pPr>
              <w:jc w:val="right"/>
              <w:ind w:right="137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16"/>
        </w:trPr>
        <w:tc>
          <w:tcPr>
            <w:tcW w:w="5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50"/>
        </w:trPr>
        <w:tc>
          <w:tcPr>
            <w:tcW w:w="5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Data &amp; AI</w:t>
            </w:r>
          </w:p>
        </w:tc>
        <w:tc>
          <w:tcPr>
            <w:tcW w:w="154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16.6</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shd w:val="clear" w:color="auto" w:fill="CFF0FC"/>
          </w:tcPr>
          <w:p>
            <w:pPr>
              <w:spacing w:after="0"/>
              <w:rPr>
                <w:sz w:val="21"/>
                <w:szCs w:val="21"/>
                <w:color w:val="auto"/>
              </w:rPr>
            </w:pPr>
          </w:p>
        </w:tc>
      </w:tr>
      <w:tr>
        <w:trPr>
          <w:trHeight w:val="156"/>
        </w:trPr>
        <w:tc>
          <w:tcPr>
            <w:tcW w:w="5600" w:type="dxa"/>
            <w:vAlign w:val="bottom"/>
            <w:tcBorders>
              <w:top w:val="single" w:sz="8" w:color="CFF0FC"/>
            </w:tcBorders>
            <w:gridSpan w:val="3"/>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Talent Segment</w:t>
            </w:r>
          </w:p>
        </w:tc>
        <w:tc>
          <w:tcPr>
            <w:tcW w:w="15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
        </w:trPr>
        <w:tc>
          <w:tcPr>
            <w:tcW w:w="12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4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15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5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5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10.4</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Subtotal Talent</w:t>
            </w:r>
          </w:p>
        </w:tc>
        <w:tc>
          <w:tcPr>
            <w:tcW w:w="1540" w:type="dxa"/>
            <w:vAlign w:val="bottom"/>
          </w:tcPr>
          <w:p>
            <w:pPr>
              <w:jc w:val="right"/>
              <w:ind w:right="13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16.9</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00" w:type="dxa"/>
            <w:vAlign w:val="bottom"/>
            <w:gridSpan w:val="3"/>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54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5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7"/>
                <w:szCs w:val="17"/>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15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r>
      <w:tr>
        <w:trPr>
          <w:trHeight w:val="256"/>
        </w:trPr>
        <w:tc>
          <w:tcPr>
            <w:tcW w:w="5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154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6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SG&amp;A Expenses</w:t>
            </w:r>
          </w:p>
        </w:tc>
        <w:tc>
          <w:tcPr>
            <w:tcW w:w="1540" w:type="dxa"/>
            <w:vAlign w:val="bottom"/>
          </w:tcPr>
          <w:p>
            <w:pPr>
              <w:jc w:val="right"/>
              <w:ind w:right="137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35.3</w:t>
            </w:r>
          </w:p>
        </w:tc>
        <w:tc>
          <w:tcPr>
            <w:tcW w:w="5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41.2</w:t>
            </w:r>
          </w:p>
        </w:tc>
        <w:tc>
          <w:tcPr>
            <w:tcW w:w="10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-1344930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-1328420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-1344930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-1328420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-770890</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-770890</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-187960</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4742815</wp:posOffset>
            </wp:positionH>
            <wp:positionV relativeFrom="paragraph">
              <wp:posOffset>-170815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-187960</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SG&amp;A expenses for the nine months ended September 30, 2026, totaled $35.3 million or 28.4% of total revenues, compared to $41.2 million or 28.2% of total revenues for the nine months ended September 30, 2025. When excluding the amortization of acquired intangible assets in both periods and the severance expense and finance and accounting transition expense in 2025, SG&amp;A expense as a percentage of total revenues was 26.9% and 24.1%, respectively.</w:t>
      </w:r>
    </w:p>
    <w:p>
      <w:pPr>
        <w:spacing w:after="0" w:line="180"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nine months of 2026, compared to the first nine months of 2025, included the following:</w:t>
      </w:r>
    </w:p>
    <w:p>
      <w:pPr>
        <w:spacing w:after="0" w:line="54" w:lineRule="exact"/>
        <w:rPr>
          <w:sz w:val="20"/>
          <w:szCs w:val="20"/>
          <w:color w:val="auto"/>
        </w:rPr>
      </w:pPr>
    </w:p>
    <w:p>
      <w:pPr>
        <w:ind w:left="760" w:right="60" w:hanging="315"/>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 was $2.2 million lower in the 2026 period compared to the corresponding 2025 period. Sales and marketing expense in our Data &amp; AI segment increased by $0.1 million, primarily due to marketing costs, partially offset by lower payroll and related expense. Sales and marketing expense in our Talent segment decreased by $2.3 million, resulting from lower payroll and related costs, as well as reduced marketing spend.</w:t>
      </w:r>
    </w:p>
    <w:p>
      <w:pPr>
        <w:spacing w:after="0" w:line="71" w:lineRule="exact"/>
        <w:rPr>
          <w:rFonts w:ascii="Times New Roman" w:cs="Times New Roman" w:eastAsia="Times New Roman" w:hAnsi="Times New Roman"/>
          <w:sz w:val="18"/>
          <w:szCs w:val="18"/>
          <w:color w:val="auto"/>
        </w:rPr>
      </w:pPr>
    </w:p>
    <w:p>
      <w:pPr>
        <w:ind w:left="760" w:right="40" w:hanging="315"/>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increased by $0.3 million in the 2026 period compared to the corresponding 2025 period. Operations expense in the Data &amp; AI segment increased by $1.6 million, primarily due to AI-related personnel investments. Operations expense in the Talent segment decreased by $1.3 million, primarily due to workforce reductions.</w:t>
      </w:r>
    </w:p>
    <w:p>
      <w:pPr>
        <w:spacing w:after="0" w:line="67" w:lineRule="exact"/>
        <w:rPr>
          <w:rFonts w:ascii="Times New Roman" w:cs="Times New Roman" w:eastAsia="Times New Roman" w:hAnsi="Times New Roman"/>
          <w:sz w:val="18"/>
          <w:szCs w:val="18"/>
          <w:color w:val="auto"/>
        </w:rPr>
      </w:pPr>
    </w:p>
    <w:p>
      <w:pPr>
        <w:ind w:left="760" w:hanging="315"/>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$0.2 million in the 2026 period compared to the corresponding 2025 period. General and administrative expenses in our Data &amp; AI segment decreased by $0.5 million primarily due to lower payroll and related costs, partially offset by higher facility costs. In our Talent segment, general and administrative expenses increased by $0.7 million primarily due to payroll and related costs.</w:t>
      </w:r>
    </w:p>
    <w:p>
      <w:pPr>
        <w:spacing w:after="0" w:line="71" w:lineRule="exact"/>
        <w:rPr>
          <w:rFonts w:ascii="Times New Roman" w:cs="Times New Roman" w:eastAsia="Times New Roman" w:hAnsi="Times New Roman"/>
          <w:sz w:val="18"/>
          <w:szCs w:val="18"/>
          <w:color w:val="auto"/>
        </w:rPr>
      </w:pPr>
    </w:p>
    <w:p>
      <w:pPr>
        <w:ind w:left="760" w:right="80" w:hanging="315"/>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decreased by $0.1 million compared with the corresponding period in 2025, as a portion of our intangible assets became fully amortized.</w:t>
      </w:r>
    </w:p>
    <w:p>
      <w:pPr>
        <w:sectPr>
          <w:pgSz w:w="11900" w:h="16838" w:orient="portrait"/>
          <w:cols w:equalWidth="0" w:num="1">
            <w:col w:w="9720"/>
          </w:cols>
          <w:pgMar w:left="1080" w:top="117" w:right="10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60" w:right="100" w:hanging="315"/>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included severance expense and finance and accounting transition expense of $2.5 million and $1.6 million in the 2025 period, respectively, compared to no significant expenses in the 2026 period. The expenses related to the departure of the Company's former Chief Financial Officer and Talent segment Sales Management, and the Company's transition of its finance and accounting function to India which consisted primarily of severance, duplicate personnel costs during the transition period, and travel associated with training and knowledge transfer.</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Other Income / (Expense) for the nine months ended September 30, 2026, consisted of interest income of $814,000 and foreign exchange gains of $352,000. For the nine months ended September 30, 2025, Other Income / (Expense) consisted of interest income of $571,000 and foreign exchange gains of $118,000. The higher level of interest income primarily reflected higher average cash balances during the current nine month period.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2026, totaled $734,000, representing an effective tax rate on pre-tax income of 81.1%, compared to income tax expense of $46,000 for the nine months ended September 30, 2025, which represented an effective tax rate on a pre-tax loss of (14.5%). The higher effective tax rate in the 2026 period primarily reflected non-deductible executive compensation, unfavorable tax effects associated with stock-based compensation and foreign and other items, and state taxes.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2026, we had no bank debt, cash balances on hand of $37.9 million and approximately $18.3 million of borrowing capacity under our existing credit facility.</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September 30, 2026, our accounts receivable “days sales outstanding” (“DSOs”) increased to 56-days, compared to 55-days reported at September 30, 2025.</w:t>
      </w:r>
    </w:p>
    <w:p>
      <w:pPr>
        <w:spacing w:after="0" w:line="180"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support our share repurchase program that we announced in February 2026 over the next twelve months, absent any acquisition-related activities.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227"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2026, totaled $1.7 million compared to $6.8 million provided by operating activities during the nine months ended September 30, 2025. Operating cash flows for the 2026 period were driven by net income of $0.2 million, non-cash charges of $6.0 million, and a ($4.5) million use of cash from changes in operating working capital. The use of cash from working capital was primarily attributable to a decrease in accrued payroll and related costs, as well as an increase in prepaid and other current assets, and to a lesser extent decreases in accounts payable and other accrued liabilities. These uses of cash were partially offset by a decrease in accounts receivable.</w:t>
      </w:r>
    </w:p>
    <w:p>
      <w:pPr>
        <w:spacing w:after="0" w:line="18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In the prior year period, cash provided by operating activities reflected a net loss of ($0.4) million, non-cash charges of $5.2 million, and a $1.9 million source of cash from changes in operating working capital, primarily attributable to a decrease in accounts receivable and an increase in accrued payroll and related costs, partially offset by a decrease in accounts payable and an increase in prepaid and other current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($0.4) million in both the nine months ended September 30, 2026 and 2025. Investing activities in both periods consisted primarily of capital expenditures and changes in non-current deposits.</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2026 totaled $0.8 million and consisted primarily of proceeds from the exercise of stock options of $0.8 million, and a small amount from the issuance of common shares related to our Employee Stock Purchase Plan. Cash used in financing activities for the nine months ended September 30, 2025, totaled ($1.0) million and consisted primarily of treasury stock purchases of ($1.6) million, partially offset by proceeds from the exercise of stock options of $0.5 million and the issuance of common shares related to our Employee Stock Purchase Plan.</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have any off-balance sheet arrangements.</w:t>
      </w: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w:t>
      </w:r>
    </w:p>
    <w:p>
      <w:pPr>
        <w:spacing w:after="0" w:line="187"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our 2025 Annual Report on Form 10-K for a discussion about risks that inflation directly or indirectly may pose to our business.</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13 to the accompanying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As of September 30, 2026, we had no outstanding borrowings under the Credit Agreements — Refer to Note 8 — “Credit Facility” in the Notes to Condensed Consolidated Financial Statements,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nine months of 2026 would not have had a material impact on our consolidated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83"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3"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2026 that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2025, filed with the SEC on March 18,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September 30, 2026 is set forth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Dollars that May</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Yet Be Used</w:t>
            </w:r>
          </w:p>
        </w:tc>
        <w:tc>
          <w:tcPr>
            <w:tcW w:w="0" w:type="dxa"/>
            <w:vAlign w:val="bottom"/>
          </w:tcPr>
          <w:p>
            <w:pPr>
              <w:spacing w:after="0"/>
              <w:rPr>
                <w:sz w:val="1"/>
                <w:szCs w:val="1"/>
                <w:color w:val="auto"/>
              </w:rPr>
            </w:pPr>
          </w:p>
        </w:tc>
      </w:tr>
      <w:tr>
        <w:trPr>
          <w:trHeight w:val="148"/>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-156845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-156845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-156845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-156845</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1" w:lineRule="exact"/>
        <w:rPr>
          <w:sz w:val="20"/>
          <w:szCs w:val="20"/>
          <w:color w:val="auto"/>
        </w:rPr>
      </w:pPr>
    </w:p>
    <w:p>
      <w:pPr>
        <w:ind w:left="880" w:right="160" w:hanging="436"/>
        <w:spacing w:after="0" w:line="255"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16, 2026, the Company’s Board of Directors authorized a new share repurchase program pursuant to which the Company may repurchase up to $5.0 million of its common stock.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Company’s Board of Directors. The authorization became effective on February 16, 2026. The Company did not repurchase any shares of its Common Stock during the quarter ended September 30, 2026. As of September 30, 2026, $5.0 million remained available for repurchase under the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 of Directors and Section 16 Officers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2026, none of our directors or officers (as defined in Exchange Act Rule 16a-1(f)) informed us of the adoption, modification or termination of a “Rule 10b5-1 trading arrangement” or “non-Rule 10b5-1 trading arrangement,” as those terms are defined in Regulation S-K, Item 408.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700" w:type="dxa"/>
            <w:vAlign w:val="bottom"/>
            <w:gridSpan w:val="13"/>
          </w:tcPr>
          <w:p>
            <w:pPr>
              <w:ind w:left="420"/>
              <w:spacing w:after="0"/>
              <w:rPr>
                <w:sz w:val="20"/>
                <w:szCs w:val="20"/>
                <w:color w:val="auto"/>
              </w:rPr>
            </w:pPr>
            <w:r>
              <w:rPr>
                <w:rFonts w:ascii="Times New Roman" w:cs="Times New Roman" w:eastAsia="Times New Roman" w:hAnsi="Times New Roman"/>
                <w:sz w:val="18"/>
                <w:szCs w:val="18"/>
                <w:color w:val="auto"/>
              </w:rPr>
              <w:t>(a) Exhibits</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6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Second Amended and Restated Bylaws of Mastech Digital, Inc., effective August 5, 2026, incorporated by reference to</w:t>
              </w:r>
            </w:hyperlink>
          </w:p>
        </w:tc>
        <w:tc>
          <w:tcPr>
            <w:tcW w:w="12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Exhibit 3.1 of the Company’s Current Report on Form 8-K, filed with the Securities and Exchange Commission on</w:t>
              </w:r>
            </w:hyperlink>
          </w:p>
        </w:tc>
        <w:tc>
          <w:tcPr>
            <w:tcW w:w="400" w:type="dxa"/>
            <w:vAlign w:val="bottom"/>
            <w:gridSpan w:val="6"/>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August 6, 2026.</w:t>
              </w:r>
            </w:hyperlink>
          </w:p>
        </w:tc>
      </w:tr>
      <w:tr>
        <w:trPr>
          <w:trHeight w:val="20"/>
        </w:trPr>
        <w:tc>
          <w:tcPr>
            <w:tcW w:w="960" w:type="dxa"/>
            <w:vAlign w:val="bottom"/>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Restricted Stock Unit Agreement between Mastech Digital, Inc. and Nirav Patel, dated August 1, 2026, incorporated by</w:t>
              </w:r>
            </w:hyperlink>
          </w:p>
        </w:tc>
        <w:tc>
          <w:tcPr>
            <w:tcW w:w="8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1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reference to Exhibit 10.1 of the Company’s Current Report on Form 8-K, filed with the Securities and Exchange</w:t>
              </w:r>
            </w:hyperlink>
          </w:p>
        </w:tc>
        <w:tc>
          <w:tcPr>
            <w:tcW w:w="60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Commission on August 6, 2026.</w:t>
              </w:r>
            </w:hyperlink>
          </w:p>
        </w:tc>
      </w:tr>
      <w:tr>
        <w:trPr>
          <w:trHeight w:val="20"/>
        </w:trPr>
        <w:tc>
          <w:tcPr>
            <w:tcW w:w="960" w:type="dxa"/>
            <w:vAlign w:val="bottom"/>
          </w:tcPr>
          <w:p>
            <w:pPr>
              <w:spacing w:after="0" w:line="20" w:lineRule="exact"/>
              <w:rPr>
                <w:sz w:val="1"/>
                <w:szCs w:val="1"/>
                <w:color w:val="auto"/>
              </w:rPr>
            </w:pPr>
          </w:p>
        </w:tc>
        <w:tc>
          <w:tcPr>
            <w:tcW w:w="23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4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Restricted Stock Unit Agreement between Mastech Digital, Inc. and Kannan Sugantharaman, dated August 10, 2026,</w:t>
              </w:r>
            </w:hyperlink>
          </w:p>
        </w:tc>
        <w:tc>
          <w:tcPr>
            <w:tcW w:w="26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85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incorporated by reference to Exhibit 10.1 of the Company’s Current Report on Form 8-K, filed with the Securities and</w:t>
              </w:r>
            </w:hyperlink>
          </w:p>
        </w:tc>
        <w:tc>
          <w:tcPr>
            <w:tcW w:w="18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740" w:type="dxa"/>
            <w:vAlign w:val="bottom"/>
            <w:gridSpan w:val="12"/>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Exchange Commission on August 14, 2026.</w:t>
              </w:r>
            </w:hyperlink>
          </w:p>
        </w:tc>
      </w:tr>
      <w:tr>
        <w:trPr>
          <w:trHeight w:val="20"/>
        </w:trPr>
        <w:tc>
          <w:tcPr>
            <w:tcW w:w="960" w:type="dxa"/>
            <w:vAlign w:val="bottom"/>
          </w:tcPr>
          <w:p>
            <w:pPr>
              <w:spacing w:after="0" w:line="20" w:lineRule="exact"/>
              <w:rPr>
                <w:sz w:val="1"/>
                <w:szCs w:val="1"/>
                <w:color w:val="auto"/>
              </w:rPr>
            </w:pPr>
          </w:p>
        </w:tc>
        <w:tc>
          <w:tcPr>
            <w:tcW w:w="318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by the Chief Executive Officer is filed herewith.</w:t>
            </w: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by the Chief Financial Officer is filed herewith.</w:t>
            </w:r>
          </w:p>
        </w:tc>
      </w:tr>
      <w:tr>
        <w:trPr>
          <w:trHeight w:val="20"/>
        </w:trPr>
        <w:tc>
          <w:tcPr>
            <w:tcW w:w="960" w:type="dxa"/>
            <w:vAlign w:val="bottom"/>
          </w:tcPr>
          <w:p>
            <w:pPr>
              <w:spacing w:after="0" w:line="20" w:lineRule="exact"/>
              <w:rPr>
                <w:sz w:val="1"/>
                <w:szCs w:val="1"/>
                <w:color w:val="auto"/>
              </w:rPr>
            </w:pPr>
          </w:p>
        </w:tc>
        <w:tc>
          <w:tcPr>
            <w:tcW w:w="3820" w:type="dxa"/>
            <w:vAlign w:val="bottom"/>
            <w:tcBorders>
              <w:right w:val="single" w:sz="8" w:color="0000FF"/>
            </w:tcBorders>
            <w:gridSpan w:val="4"/>
            <w:shd w:val="clear" w:color="auto" w:fill="0000FF"/>
          </w:tcPr>
          <w:p>
            <w:pPr>
              <w:spacing w:after="0" w:line="20" w:lineRule="exact"/>
              <w:rPr>
                <w:sz w:val="1"/>
                <w:szCs w:val="1"/>
                <w:color w:val="auto"/>
              </w:rPr>
            </w:pPr>
          </w:p>
        </w:tc>
        <w:tc>
          <w:tcPr>
            <w:tcW w:w="4880" w:type="dxa"/>
            <w:vAlign w:val="bottom"/>
            <w:tcBorders>
              <w:right w:val="single" w:sz="8" w:color="0000EE"/>
            </w:tcBorders>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196"/>
        </w:trPr>
        <w:tc>
          <w:tcPr>
            <w:tcW w:w="960" w:type="dxa"/>
            <w:vAlign w:val="bottom"/>
          </w:tcPr>
          <w:p>
            <w:pPr>
              <w:spacing w:after="0"/>
              <w:rPr>
                <w:sz w:val="17"/>
                <w:szCs w:val="17"/>
                <w:color w:val="auto"/>
              </w:rPr>
            </w:pPr>
          </w:p>
        </w:tc>
        <w:tc>
          <w:tcPr>
            <w:tcW w:w="87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by the Chief Executive Officer is furnished herewith.</w:t>
            </w:r>
          </w:p>
        </w:tc>
      </w:tr>
      <w:tr>
        <w:trPr>
          <w:trHeight w:val="20"/>
        </w:trPr>
        <w:tc>
          <w:tcPr>
            <w:tcW w:w="960" w:type="dxa"/>
            <w:vAlign w:val="bottom"/>
          </w:tcPr>
          <w:p>
            <w:pPr>
              <w:spacing w:after="0" w:line="20" w:lineRule="exact"/>
              <w:rPr>
                <w:sz w:val="1"/>
                <w:szCs w:val="1"/>
                <w:color w:val="auto"/>
              </w:rPr>
            </w:pPr>
          </w:p>
        </w:tc>
        <w:tc>
          <w:tcPr>
            <w:tcW w:w="3820" w:type="dxa"/>
            <w:vAlign w:val="bottom"/>
            <w:tcBorders>
              <w:right w:val="single" w:sz="8" w:color="0000EE"/>
            </w:tcBorders>
            <w:gridSpan w:val="4"/>
            <w:shd w:val="clear" w:color="auto" w:fill="0000FF"/>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196"/>
        </w:trPr>
        <w:tc>
          <w:tcPr>
            <w:tcW w:w="960" w:type="dxa"/>
            <w:vAlign w:val="bottom"/>
          </w:tcPr>
          <w:p>
            <w:pPr>
              <w:spacing w:after="0"/>
              <w:rPr>
                <w:sz w:val="17"/>
                <w:szCs w:val="17"/>
                <w:color w:val="auto"/>
              </w:rPr>
            </w:pPr>
          </w:p>
        </w:tc>
        <w:tc>
          <w:tcPr>
            <w:tcW w:w="38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by the Chief Financial Officer is furnished herewith.</w:t>
            </w:r>
          </w:p>
        </w:tc>
        <w:tc>
          <w:tcPr>
            <w:tcW w:w="4920" w:type="dxa"/>
            <w:vAlign w:val="bottom"/>
            <w:gridSpan w:val="8"/>
          </w:tcPr>
          <w:p>
            <w:pPr>
              <w:spacing w:after="0"/>
              <w:rPr>
                <w:sz w:val="17"/>
                <w:szCs w:val="17"/>
                <w:color w:val="auto"/>
              </w:rPr>
            </w:pPr>
          </w:p>
        </w:tc>
      </w:tr>
      <w:tr>
        <w:trPr>
          <w:trHeight w:val="32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34"/>
        </w:trPr>
        <w:tc>
          <w:tcPr>
            <w:tcW w:w="960" w:type="dxa"/>
            <w:vAlign w:val="bottom"/>
          </w:tcPr>
          <w:p>
            <w:pPr>
              <w:spacing w:after="0"/>
              <w:rPr>
                <w:sz w:val="20"/>
                <w:szCs w:val="20"/>
                <w:color w:val="auto"/>
              </w:rPr>
            </w:pPr>
          </w:p>
        </w:tc>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90" w:lineRule="exact"/>
        <w:rPr>
          <w:sz w:val="20"/>
          <w:szCs w:val="20"/>
          <w:color w:val="auto"/>
        </w:rPr>
      </w:pPr>
    </w:p>
    <w:p>
      <w:pPr>
        <w:ind w:left="4780" w:right="2220" w:hanging="4763"/>
        <w:spacing w:after="0" w:line="783" w:lineRule="auto"/>
        <w:tabs>
          <w:tab w:leader="none" w:pos="9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170180</wp:posOffset>
            </wp:positionV>
            <wp:extent cx="703770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30th day of October, 2026.</w:t>
      </w:r>
    </w:p>
    <w:p>
      <w:pPr>
        <w:spacing w:after="0" w:line="200" w:lineRule="exact"/>
        <w:rPr>
          <w:sz w:val="20"/>
          <w:szCs w:val="20"/>
          <w:color w:val="auto"/>
        </w:rPr>
      </w:pPr>
    </w:p>
    <w:p>
      <w:pPr>
        <w:spacing w:after="0" w:line="2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17145</wp:posOffset>
            </wp:positionV>
            <wp:extent cx="270891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3"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17145</wp:posOffset>
            </wp:positionV>
            <wp:extent cx="270891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3"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00"/>
          </w:cols>
          <w:pgMar w:left="1080" w:top="117" w:right="1219" w:bottom="1440" w:gutter="0" w:footer="0" w:header="0"/>
        </w:sectPr>
      </w:pPr>
    </w:p>
    <w:bookmarkStart w:id="33" w:name="page34"/>
    <w:bookmarkEnd w:id="33"/>
    <w:p>
      <w:pPr>
        <w:ind w:left="87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Patel, certify that:</w:t>
      </w:r>
    </w:p>
    <w:p>
      <w:pPr>
        <w:spacing w:after="0" w:line="117" w:lineRule="exact"/>
        <w:rPr>
          <w:sz w:val="20"/>
          <w:szCs w:val="20"/>
          <w:color w:val="auto"/>
        </w:rPr>
      </w:pPr>
    </w:p>
    <w:p>
      <w:pPr>
        <w:ind w:left="440" w:hanging="43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17" w:lineRule="exact"/>
        <w:rPr>
          <w:rFonts w:ascii="Times New Roman" w:cs="Times New Roman" w:eastAsia="Times New Roman" w:hAnsi="Times New Roman"/>
          <w:sz w:val="18"/>
          <w:szCs w:val="18"/>
          <w:color w:val="auto"/>
        </w:rPr>
      </w:pPr>
    </w:p>
    <w:p>
      <w:pPr>
        <w:ind w:left="440" w:right="200" w:hanging="436"/>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280" w:hanging="436"/>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hanging="436"/>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9" w:lineRule="auto"/>
        <w:tabs>
          <w:tab w:leader="none" w:pos="8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160" w:hanging="436"/>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60" w:hanging="436"/>
        <w:spacing w:after="0" w:line="289" w:lineRule="auto"/>
        <w:tabs>
          <w:tab w:leader="none" w:pos="8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40" w:right="540" w:hanging="436"/>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52"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/S/ NIRAV PATEL</w:t>
      </w:r>
    </w:p>
    <w:p>
      <w:pPr>
        <w:spacing w:after="0" w:line="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-125095</wp:posOffset>
            </wp:positionV>
            <wp:extent cx="27006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764540</wp:posOffset>
            </wp:positionV>
            <wp:extent cx="703770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34" w:name="page35"/>
    <w:bookmarkEnd w:id="34"/>
    <w:p>
      <w:pPr>
        <w:ind w:left="87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Kannan Sugantharaman, certify that:</w:t>
      </w:r>
    </w:p>
    <w:p>
      <w:pPr>
        <w:spacing w:after="0" w:line="117" w:lineRule="exact"/>
        <w:rPr>
          <w:sz w:val="20"/>
          <w:szCs w:val="20"/>
          <w:color w:val="auto"/>
        </w:rPr>
      </w:pPr>
    </w:p>
    <w:p>
      <w:pPr>
        <w:ind w:left="440" w:hanging="436"/>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17" w:lineRule="exact"/>
        <w:rPr>
          <w:rFonts w:ascii="Times New Roman" w:cs="Times New Roman" w:eastAsia="Times New Roman" w:hAnsi="Times New Roman"/>
          <w:sz w:val="18"/>
          <w:szCs w:val="18"/>
          <w:color w:val="auto"/>
        </w:rPr>
      </w:pPr>
    </w:p>
    <w:p>
      <w:pPr>
        <w:ind w:left="440" w:right="200" w:hanging="436"/>
        <w:spacing w:after="0" w:line="266"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280" w:hanging="436"/>
        <w:spacing w:after="0" w:line="266"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hanging="436"/>
        <w:spacing w:after="0" w:line="266"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9" w:lineRule="auto"/>
        <w:tabs>
          <w:tab w:leader="none" w:pos="8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160" w:hanging="436"/>
        <w:spacing w:after="0" w:line="266" w:lineRule="auto"/>
        <w:tabs>
          <w:tab w:leader="none" w:pos="8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60" w:hanging="436"/>
        <w:spacing w:after="0" w:line="289" w:lineRule="auto"/>
        <w:tabs>
          <w:tab w:leader="none" w:pos="8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49" w:lineRule="exact"/>
        <w:rPr>
          <w:rFonts w:ascii="Times New Roman" w:cs="Times New Roman" w:eastAsia="Times New Roman" w:hAnsi="Times New Roman"/>
          <w:sz w:val="17"/>
          <w:szCs w:val="17"/>
          <w:color w:val="auto"/>
        </w:rPr>
      </w:pPr>
    </w:p>
    <w:p>
      <w:pPr>
        <w:ind w:left="440" w:right="540" w:hanging="436"/>
        <w:spacing w:after="0" w:line="266"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52"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8"/>
          <w:szCs w:val="18"/>
          <w:color w:val="auto"/>
        </w:rPr>
        <w:t>Date: October 30, 2026</w:t>
      </w:r>
      <w:r>
        <w:rPr>
          <w:sz w:val="20"/>
          <w:szCs w:val="20"/>
          <w:color w:val="auto"/>
        </w:rPr>
        <w:tab/>
      </w:r>
      <w:r>
        <w:rPr>
          <w:rFonts w:ascii="Times New Roman" w:cs="Times New Roman" w:eastAsia="Times New Roman" w:hAnsi="Times New Roman"/>
          <w:sz w:val="17"/>
          <w:szCs w:val="17"/>
          <w:color w:val="auto"/>
        </w:rPr>
        <w:t>/S/ KANNAN SUGANTHARAMAN</w:t>
      </w:r>
    </w:p>
    <w:p>
      <w:pPr>
        <w:spacing w:after="0" w:line="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-125095</wp:posOffset>
            </wp:positionV>
            <wp:extent cx="27260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764540</wp:posOffset>
            </wp:positionV>
            <wp:extent cx="703770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2026, as filed with the Securities and Exchange Commission on the date hereof (the “Report”), I, Nirav Patel, Chief Executive Officer of the Company, certify, pursuant to 18 U.S.C. § 1350, as adopted pursuant to § 906 of the Sarbanes-Oxley Act of 2002, that, to my knowledge:</w:t>
      </w:r>
    </w:p>
    <w:p>
      <w:pPr>
        <w:spacing w:after="0" w:line="72" w:lineRule="exact"/>
        <w:rPr>
          <w:sz w:val="20"/>
          <w:szCs w:val="20"/>
          <w:color w:val="auto"/>
        </w:rPr>
      </w:pPr>
    </w:p>
    <w:p>
      <w:pPr>
        <w:ind w:left="760" w:right="460" w:hanging="315"/>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760" w:right="500" w:hanging="315"/>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NIRAV PATEL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4688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775970</wp:posOffset>
            </wp:positionV>
            <wp:extent cx="703770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08" w:right="11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2026, as filed with the Securities and Exchange Commission on the date hereof (the “Report”), I, Kannan Sugantharaman, Chief Financial Officer of the Company, certify, pursuant to 18 U.S.C. § 1350, as adopted pursuant to § 906 of the Sarbanes-Oxley Act of 2002, that, to my knowledge:</w:t>
      </w:r>
    </w:p>
    <w:p>
      <w:pPr>
        <w:spacing w:after="0" w:line="72" w:lineRule="exact"/>
        <w:rPr>
          <w:sz w:val="20"/>
          <w:szCs w:val="20"/>
          <w:color w:val="auto"/>
        </w:rPr>
      </w:pPr>
    </w:p>
    <w:p>
      <w:pPr>
        <w:ind w:left="760" w:right="460" w:hanging="315"/>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760" w:right="500" w:hanging="315"/>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24688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775970</wp:posOffset>
            </wp:positionV>
            <wp:extent cx="703770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008" w:right="11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00" Type="http://schemas.openxmlformats.org/officeDocument/2006/relationships/hyperlink" Target="https://www.sec.gov/Archives/edgar/data/1437226/000119312526337015/mhh-ex3_1.htm" TargetMode="External"/><Relationship Id="rId301" Type="http://schemas.openxmlformats.org/officeDocument/2006/relationships/hyperlink" Target="https://www.sec.gov/Archives/edgar/data/1437226/000119312526337015/mhh-ex10_1.htm" TargetMode="External"/><Relationship Id="rId302" Type="http://schemas.openxmlformats.org/officeDocument/2006/relationships/hyperlink" Target="https://www.sec.gov/Archives/edgar/data/1437226/000119312526352113/mhh-ex10_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2026-10-30T09:04:14Z</dcterms:created>
  <dcterms:modified xsi:type="dcterms:W3CDTF">2026-10-30T09:04:14Z</dcterms:modified>
</cp:coreProperties>
</file>