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688340</wp:posOffset>
            </wp:positionH>
            <wp:positionV relativeFrom="page">
              <wp:posOffset>568960</wp:posOffset>
            </wp:positionV>
            <wp:extent cx="61722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page">
              <wp:posOffset>688340</wp:posOffset>
            </wp:positionH>
            <wp:positionV relativeFrom="page">
              <wp:posOffset>586105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132715</wp:posOffset>
            </wp:positionV>
            <wp:extent cx="12344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165100</wp:posOffset>
            </wp:positionV>
            <wp:extent cx="12344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October 30,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217170</wp:posOffset>
            </wp:positionV>
            <wp:extent cx="12344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Mastech Digital,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250190</wp:posOffset>
            </wp:positionV>
            <wp:extent cx="12344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820" w:type="dxa"/>
        <w:tblCellMar>
          <w:top w:w="0" w:type="dxa"/>
          <w:left w:w="0" w:type="dxa"/>
          <w:bottom w:w="0" w:type="dxa"/>
          <w:right w:w="0" w:type="dxa"/>
        </w:tblCellMar>
      </w:tblPr>
      <w:tr>
        <w:trPr>
          <w:trHeight w:val="222"/>
        </w:trPr>
        <w:tc>
          <w:tcPr>
            <w:tcW w:w="2820" w:type="dxa"/>
            <w:vAlign w:val="bottom"/>
          </w:tcPr>
          <w:p>
            <w:pPr>
              <w:jc w:val="center"/>
              <w:ind w:right="358"/>
              <w:spacing w:after="0"/>
              <w:rPr>
                <w:sz w:val="20"/>
                <w:szCs w:val="20"/>
                <w:color w:val="auto"/>
              </w:rPr>
            </w:pPr>
            <w:r>
              <w:rPr>
                <w:rFonts w:ascii="Times New Roman" w:cs="Times New Roman" w:eastAsia="Times New Roman" w:hAnsi="Times New Roman"/>
                <w:sz w:val="18"/>
                <w:szCs w:val="18"/>
                <w:b w:val="1"/>
                <w:bCs w:val="1"/>
                <w:color w:val="auto"/>
                <w:w w:val="99"/>
              </w:rPr>
              <w:t>Pennsylvania</w:t>
            </w:r>
          </w:p>
        </w:tc>
        <w:tc>
          <w:tcPr>
            <w:tcW w:w="2780" w:type="dxa"/>
            <w:vAlign w:val="bottom"/>
          </w:tcPr>
          <w:p>
            <w:pPr>
              <w:jc w:val="right"/>
              <w:ind w:right="1081"/>
              <w:spacing w:after="0"/>
              <w:rPr>
                <w:sz w:val="20"/>
                <w:szCs w:val="20"/>
                <w:color w:val="auto"/>
              </w:rPr>
            </w:pPr>
            <w:r>
              <w:rPr>
                <w:rFonts w:ascii="Times New Roman" w:cs="Times New Roman" w:eastAsia="Times New Roman" w:hAnsi="Times New Roman"/>
                <w:sz w:val="18"/>
                <w:szCs w:val="18"/>
                <w:b w:val="1"/>
                <w:bCs w:val="1"/>
                <w:color w:val="auto"/>
              </w:rPr>
              <w:t>001-34099</w:t>
            </w:r>
          </w:p>
        </w:tc>
        <w:tc>
          <w:tcPr>
            <w:tcW w:w="1840" w:type="dxa"/>
            <w:vAlign w:val="bottom"/>
          </w:tcPr>
          <w:p>
            <w:pPr>
              <w:jc w:val="right"/>
              <w:ind w:right="24"/>
              <w:spacing w:after="0"/>
              <w:rPr>
                <w:sz w:val="20"/>
                <w:szCs w:val="20"/>
                <w:color w:val="auto"/>
              </w:rPr>
            </w:pPr>
            <w:r>
              <w:rPr>
                <w:rFonts w:ascii="Times New Roman" w:cs="Times New Roman" w:eastAsia="Times New Roman" w:hAnsi="Times New Roman"/>
                <w:sz w:val="18"/>
                <w:szCs w:val="18"/>
                <w:b w:val="1"/>
                <w:bCs w:val="1"/>
                <w:color w:val="auto"/>
              </w:rPr>
              <w:t>26-2753540</w:t>
            </w:r>
          </w:p>
        </w:tc>
      </w:tr>
      <w:tr>
        <w:trPr>
          <w:trHeight w:val="149"/>
        </w:trPr>
        <w:tc>
          <w:tcPr>
            <w:tcW w:w="2820" w:type="dxa"/>
            <w:vAlign w:val="bottom"/>
          </w:tcPr>
          <w:p>
            <w:pPr>
              <w:jc w:val="center"/>
              <w:ind w:right="378"/>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278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1840" w:type="dxa"/>
            <w:vAlign w:val="bottom"/>
          </w:tcPr>
          <w:p>
            <w:pPr>
              <w:jc w:val="center"/>
              <w:ind w:left="70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2820" w:type="dxa"/>
            <w:vAlign w:val="bottom"/>
          </w:tcPr>
          <w:p>
            <w:pPr>
              <w:jc w:val="center"/>
              <w:ind w:right="378"/>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2780" w:type="dxa"/>
            <w:vAlign w:val="bottom"/>
          </w:tcPr>
          <w:p>
            <w:pPr>
              <w:spacing w:after="0"/>
              <w:rPr>
                <w:sz w:val="15"/>
                <w:szCs w:val="15"/>
                <w:color w:val="auto"/>
              </w:rPr>
            </w:pPr>
          </w:p>
        </w:tc>
        <w:tc>
          <w:tcPr>
            <w:tcW w:w="1840" w:type="dxa"/>
            <w:vAlign w:val="bottom"/>
          </w:tcPr>
          <w:p>
            <w:pPr>
              <w:jc w:val="center"/>
              <w:ind w:left="7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2820" w:type="dxa"/>
            <w:vAlign w:val="bottom"/>
          </w:tcPr>
          <w:p>
            <w:pPr>
              <w:jc w:val="center"/>
              <w:ind w:right="358"/>
              <w:spacing w:after="0"/>
              <w:rPr>
                <w:sz w:val="20"/>
                <w:szCs w:val="20"/>
                <w:color w:val="auto"/>
              </w:rPr>
            </w:pPr>
            <w:r>
              <w:rPr>
                <w:rFonts w:ascii="Times New Roman" w:cs="Times New Roman" w:eastAsia="Times New Roman" w:hAnsi="Times New Roman"/>
                <w:sz w:val="18"/>
                <w:szCs w:val="18"/>
                <w:b w:val="1"/>
                <w:bCs w:val="1"/>
                <w:color w:val="auto"/>
                <w:w w:val="99"/>
              </w:rPr>
              <w:t>1305 Cherrington Parkway</w:t>
            </w:r>
          </w:p>
        </w:tc>
        <w:tc>
          <w:tcPr>
            <w:tcW w:w="278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216"/>
        </w:trPr>
        <w:tc>
          <w:tcPr>
            <w:tcW w:w="2820" w:type="dxa"/>
            <w:vAlign w:val="bottom"/>
          </w:tcPr>
          <w:p>
            <w:pPr>
              <w:jc w:val="center"/>
              <w:ind w:right="378"/>
              <w:spacing w:after="0"/>
              <w:rPr>
                <w:sz w:val="20"/>
                <w:szCs w:val="20"/>
                <w:color w:val="auto"/>
              </w:rPr>
            </w:pPr>
            <w:r>
              <w:rPr>
                <w:rFonts w:ascii="Times New Roman" w:cs="Times New Roman" w:eastAsia="Times New Roman" w:hAnsi="Times New Roman"/>
                <w:sz w:val="18"/>
                <w:szCs w:val="18"/>
                <w:b w:val="1"/>
                <w:bCs w:val="1"/>
                <w:color w:val="auto"/>
                <w:w w:val="98"/>
              </w:rPr>
              <w:t>Building 210</w:t>
            </w:r>
          </w:p>
        </w:tc>
        <w:tc>
          <w:tcPr>
            <w:tcW w:w="278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216"/>
        </w:trPr>
        <w:tc>
          <w:tcPr>
            <w:tcW w:w="2820" w:type="dxa"/>
            <w:vAlign w:val="bottom"/>
          </w:tcPr>
          <w:p>
            <w:pPr>
              <w:jc w:val="center"/>
              <w:ind w:right="378"/>
              <w:spacing w:after="0"/>
              <w:rPr>
                <w:sz w:val="20"/>
                <w:szCs w:val="20"/>
                <w:color w:val="auto"/>
              </w:rPr>
            </w:pPr>
            <w:r>
              <w:rPr>
                <w:rFonts w:ascii="Times New Roman" w:cs="Times New Roman" w:eastAsia="Times New Roman" w:hAnsi="Times New Roman"/>
                <w:sz w:val="18"/>
                <w:szCs w:val="18"/>
                <w:b w:val="1"/>
                <w:bCs w:val="1"/>
                <w:color w:val="auto"/>
              </w:rPr>
              <w:t>Suite 400</w:t>
            </w:r>
          </w:p>
        </w:tc>
        <w:tc>
          <w:tcPr>
            <w:tcW w:w="278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222"/>
        </w:trPr>
        <w:tc>
          <w:tcPr>
            <w:tcW w:w="2820" w:type="dxa"/>
            <w:vAlign w:val="bottom"/>
          </w:tcPr>
          <w:p>
            <w:pPr>
              <w:jc w:val="center"/>
              <w:ind w:right="378"/>
              <w:spacing w:after="0"/>
              <w:rPr>
                <w:sz w:val="20"/>
                <w:szCs w:val="20"/>
                <w:color w:val="auto"/>
              </w:rPr>
            </w:pPr>
            <w:r>
              <w:rPr>
                <w:rFonts w:ascii="Times New Roman" w:cs="Times New Roman" w:eastAsia="Times New Roman" w:hAnsi="Times New Roman"/>
                <w:sz w:val="18"/>
                <w:szCs w:val="18"/>
                <w:b w:val="1"/>
                <w:bCs w:val="1"/>
                <w:color w:val="auto"/>
                <w:w w:val="99"/>
              </w:rPr>
              <w:t>Moon Township, Pennsylvania</w:t>
            </w:r>
          </w:p>
        </w:tc>
        <w:tc>
          <w:tcPr>
            <w:tcW w:w="2780" w:type="dxa"/>
            <w:vAlign w:val="bottom"/>
          </w:tcPr>
          <w:p>
            <w:pPr>
              <w:spacing w:after="0"/>
              <w:rPr>
                <w:sz w:val="19"/>
                <w:szCs w:val="19"/>
                <w:color w:val="auto"/>
              </w:rPr>
            </w:pPr>
          </w:p>
        </w:tc>
        <w:tc>
          <w:tcPr>
            <w:tcW w:w="18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15108</w:t>
            </w:r>
          </w:p>
        </w:tc>
      </w:tr>
      <w:tr>
        <w:trPr>
          <w:trHeight w:val="178"/>
        </w:trPr>
        <w:tc>
          <w:tcPr>
            <w:tcW w:w="2820" w:type="dxa"/>
            <w:vAlign w:val="bottom"/>
          </w:tcPr>
          <w:p>
            <w:pPr>
              <w:jc w:val="center"/>
              <w:ind w:right="378"/>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2780" w:type="dxa"/>
            <w:vAlign w:val="bottom"/>
          </w:tcPr>
          <w:p>
            <w:pPr>
              <w:spacing w:after="0"/>
              <w:rPr>
                <w:sz w:val="15"/>
                <w:szCs w:val="15"/>
                <w:color w:val="auto"/>
              </w:rPr>
            </w:pPr>
          </w:p>
        </w:tc>
        <w:tc>
          <w:tcPr>
            <w:tcW w:w="1840" w:type="dxa"/>
            <w:vAlign w:val="bottom"/>
          </w:tcPr>
          <w:p>
            <w:pPr>
              <w:jc w:val="center"/>
              <w:ind w:left="70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412 787-2100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739775</wp:posOffset>
            </wp:positionV>
            <wp:extent cx="12344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3" w:lineRule="exact"/>
        <w:rPr>
          <w:sz w:val="24"/>
          <w:szCs w:val="24"/>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6"/>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6"/>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6"/>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6"/>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80" w:type="dxa"/>
            <w:vAlign w:val="bottom"/>
          </w:tcPr>
          <w:p>
            <w:pPr>
              <w:spacing w:after="0"/>
              <w:rPr>
                <w:sz w:val="18"/>
                <w:szCs w:val="18"/>
                <w:color w:val="auto"/>
              </w:rPr>
            </w:pPr>
          </w:p>
        </w:tc>
        <w:tc>
          <w:tcPr>
            <w:tcW w:w="4380" w:type="dxa"/>
            <w:vAlign w:val="bottom"/>
          </w:tcPr>
          <w:p>
            <w:pPr>
              <w:spacing w:after="0"/>
              <w:rPr>
                <w:sz w:val="18"/>
                <w:szCs w:val="18"/>
                <w:color w:val="auto"/>
              </w:rPr>
            </w:pPr>
          </w:p>
        </w:tc>
      </w:tr>
      <w:tr>
        <w:trPr>
          <w:trHeight w:val="238"/>
        </w:trPr>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00" w:type="dxa"/>
            <w:vAlign w:val="bottom"/>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80" w:type="dxa"/>
            <w:vAlign w:val="bottom"/>
          </w:tcPr>
          <w:p>
            <w:pPr>
              <w:spacing w:after="0"/>
              <w:rPr>
                <w:sz w:val="20"/>
                <w:szCs w:val="20"/>
                <w:color w:val="auto"/>
              </w:rPr>
            </w:pPr>
          </w:p>
        </w:tc>
        <w:tc>
          <w:tcPr>
            <w:tcW w:w="4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228"/>
        </w:trPr>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$.01 per share</w:t>
            </w:r>
          </w:p>
        </w:tc>
        <w:tc>
          <w:tcPr>
            <w:tcW w:w="10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MHH</w:t>
            </w:r>
          </w:p>
        </w:tc>
        <w:tc>
          <w:tcPr>
            <w:tcW w:w="80" w:type="dxa"/>
            <w:vAlign w:val="bottom"/>
          </w:tcPr>
          <w:p>
            <w:pPr>
              <w:spacing w:after="0"/>
              <w:rPr>
                <w:sz w:val="19"/>
                <w:szCs w:val="19"/>
                <w:color w:val="auto"/>
              </w:rPr>
            </w:pPr>
          </w:p>
        </w:tc>
        <w:tc>
          <w:tcPr>
            <w:tcW w:w="4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NYSE American LLC</w:t>
            </w:r>
          </w:p>
        </w:tc>
      </w:tr>
    </w:tbl>
    <w:p>
      <w:pPr>
        <w:spacing w:after="0" w:line="179" w:lineRule="exact"/>
        <w:rPr>
          <w:sz w:val="24"/>
          <w:szCs w:val="24"/>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4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-429895</wp:posOffset>
            </wp:positionH>
            <wp:positionV relativeFrom="paragraph">
              <wp:posOffset>612775</wp:posOffset>
            </wp:positionV>
            <wp:extent cx="703770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120015</wp:posOffset>
            </wp:positionV>
            <wp:extent cx="61722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137160</wp:posOffset>
            </wp:positionV>
            <wp:extent cx="61722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sectPr>
          <w:pgSz w:w="11900" w:h="16838" w:orient="portrait"/>
          <w:cols w:equalWidth="0" w:num="1">
            <w:col w:w="9720"/>
          </w:cols>
          <w:pgMar w:left="1080" w:top="1213" w:right="10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21"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On October 30, 2026, Mastech Digital, Inc. (the “Company”) issued a press release (the “Press Release”) announcing its financial results for the third quarter ended September 30, 2026. A copy of the Press Release is furnished herewith as Exhibit 99.1 and is incorporated herein by reference.</w:t>
      </w:r>
    </w:p>
    <w:p>
      <w:pPr>
        <w:spacing w:after="0" w:line="176"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The information contained in this Item 2.02 and in Exhibit 99.1 shall not be deemed filed for the purposes of Section 18 of the Securities Exchange Act of 1934, as amended, or otherwise subject to the liability of that section, nor shall it be deemed incorporated by reference in any filing under the Securities Act of 1933, as amended, except as shall be expressly set forth by specific reference in such a filing.</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7"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29"/>
          <w:szCs w:val="29"/>
          <w:color w:val="auto"/>
          <w:vertAlign w:val="superscript"/>
        </w:rPr>
        <w:t>Exhibit</w:t>
      </w:r>
      <w:r>
        <w:rPr>
          <w:sz w:val="20"/>
          <w:szCs w:val="20"/>
          <w:color w:val="auto"/>
        </w:rPr>
        <w:tab/>
      </w:r>
      <w:r>
        <w:rPr>
          <w:rFonts w:ascii="Times New Roman" w:cs="Times New Roman" w:eastAsia="Times New Roman" w:hAnsi="Times New Roman"/>
          <w:sz w:val="14"/>
          <w:szCs w:val="14"/>
          <w:color w:val="auto"/>
        </w:rPr>
        <w:t>Description</w:t>
      </w:r>
    </w:p>
    <w:p>
      <w:pPr>
        <w:spacing w:after="0" w:line="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-3175</wp:posOffset>
            </wp:positionV>
            <wp:extent cx="274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74320" cy="8255"/>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-54610</wp:posOffset>
            </wp:positionV>
            <wp:extent cx="56489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18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u w:val="single" w:color="auto"/>
          <w:color w:val="0000FF"/>
        </w:rPr>
        <w:t>99.1</w:t>
      </w:r>
      <w:r>
        <w:rPr>
          <w:sz w:val="20"/>
          <w:szCs w:val="20"/>
          <w:color w:val="auto"/>
        </w:rPr>
        <w:tab/>
      </w:r>
      <w:r>
        <w:rPr>
          <w:rFonts w:ascii="Times New Roman" w:cs="Times New Roman" w:eastAsia="Times New Roman" w:hAnsi="Times New Roman"/>
          <w:sz w:val="17"/>
          <w:szCs w:val="17"/>
          <w:u w:val="single" w:color="auto"/>
          <w:color w:val="0000FF"/>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wp:posOffset>
            </wp:positionV>
            <wp:extent cx="2000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00025" cy="8255"/>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-7620</wp:posOffset>
            </wp:positionV>
            <wp:extent cx="62484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4840" cy="8255"/>
                    </a:xfrm>
                    <a:prstGeom prst="rect">
                      <a:avLst/>
                    </a:prstGeom>
                    <a:noFill/>
                  </pic:spPr>
                </pic:pic>
              </a:graphicData>
            </a:graphic>
          </wp:anchor>
        </w:drawing>
      </w:r>
    </w:p>
    <w:p>
      <w:pPr>
        <w:spacing w:after="0" w:line="20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579120</wp:posOffset>
            </wp:positionV>
            <wp:extent cx="703770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680"/>
          </w:cols>
          <w:pgMar w:left="1080" w:top="1413" w:right="1139" w:bottom="1440" w:gutter="0" w:footer="0" w:header="0"/>
        </w:sectPr>
      </w:pPr>
    </w:p>
    <w:bookmarkStart w:id="2" w:name="page3"/>
    <w:bookmarkEnd w:id="2"/>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7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8"/>
          <w:szCs w:val="18"/>
          <w:color w:val="auto"/>
        </w:rPr>
        <w:t>MASTECH DIGITAL, INC.</w:t>
      </w:r>
    </w:p>
    <w:p>
      <w:pPr>
        <w:spacing w:after="0" w:line="374" w:lineRule="exact"/>
        <w:rPr>
          <w:sz w:val="20"/>
          <w:szCs w:val="20"/>
          <w:color w:val="auto"/>
        </w:rPr>
      </w:pPr>
    </w:p>
    <w:p>
      <w:pPr>
        <w:spacing w:after="0"/>
        <w:tabs>
          <w:tab w:leader="none" w:pos="580" w:val="left"/>
          <w:tab w:leader="none" w:pos="4860" w:val="left"/>
          <w:tab w:leader="none" w:pos="6500" w:val="left"/>
        </w:tabs>
        <w:rPr>
          <w:sz w:val="20"/>
          <w:szCs w:val="20"/>
          <w:color w:val="auto"/>
        </w:rPr>
      </w:pPr>
      <w:r>
        <w:rPr>
          <w:rFonts w:ascii="Times New Roman" w:cs="Times New Roman" w:eastAsia="Times New Roman" w:hAnsi="Times New Roman"/>
          <w:sz w:val="18"/>
          <w:szCs w:val="18"/>
          <w:color w:val="auto"/>
        </w:rPr>
        <w:t>Date:</w:t>
        <w:tab/>
        <w:t>October 30,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Kannan Sugantharaman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3336925</wp:posOffset>
            </wp:positionH>
            <wp:positionV relativeFrom="paragraph">
              <wp:posOffset>17145</wp:posOffset>
            </wp:positionV>
            <wp:extent cx="28371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spacing w:after="0" w:line="12" w:lineRule="exact"/>
        <w:rPr>
          <w:sz w:val="20"/>
          <w:szCs w:val="20"/>
          <w:color w:val="auto"/>
        </w:rPr>
      </w:pPr>
    </w:p>
    <w:p>
      <w:pPr>
        <w:jc w:val="center"/>
        <w:ind w:left="5240"/>
        <w:spacing w:after="0"/>
        <w:rPr>
          <w:sz w:val="20"/>
          <w:szCs w:val="20"/>
          <w:color w:val="auto"/>
        </w:rPr>
      </w:pPr>
      <w:r>
        <w:rPr>
          <w:rFonts w:ascii="Times New Roman" w:cs="Times New Roman" w:eastAsia="Times New Roman" w:hAnsi="Times New Roman"/>
          <w:sz w:val="18"/>
          <w:szCs w:val="18"/>
          <w:b w:val="1"/>
          <w:bCs w:val="1"/>
          <w:color w:val="auto"/>
        </w:rPr>
        <w:t>Kannan Sugantharaman</w:t>
      </w:r>
    </w:p>
    <w:p>
      <w:pPr>
        <w:spacing w:after="0" w:line="31" w:lineRule="exact"/>
        <w:rPr>
          <w:sz w:val="20"/>
          <w:szCs w:val="20"/>
          <w:color w:val="auto"/>
        </w:rPr>
      </w:pPr>
    </w:p>
    <w:p>
      <w:pPr>
        <w:jc w:val="center"/>
        <w:ind w:left="5240"/>
        <w:spacing w:after="0"/>
        <w:rPr>
          <w:sz w:val="20"/>
          <w:szCs w:val="20"/>
          <w:color w:val="auto"/>
        </w:rPr>
      </w:pPr>
      <w:r>
        <w:rPr>
          <w:rFonts w:ascii="Times New Roman" w:cs="Times New Roman" w:eastAsia="Times New Roman" w:hAnsi="Times New Roman"/>
          <w:sz w:val="18"/>
          <w:szCs w:val="18"/>
          <w:b w:val="1"/>
          <w:bCs w:val="1"/>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850265</wp:posOffset>
            </wp:positionV>
            <wp:extent cx="703770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379"/>
          </w:cols>
          <w:pgMar w:left="1080" w:top="981" w:right="1440"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173990</wp:posOffset>
            </wp:positionV>
            <wp:extent cx="1354455" cy="1968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354455" cy="196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IMMEDIATE RELEASE:</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Mastech Reports Third Quarter 2026 Results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Second Consecutive Quarter of Sequential Revenue Growth Led by Continued Data &amp; AI Momentum</w:t>
      </w:r>
    </w:p>
    <w:p>
      <w:pPr>
        <w:spacing w:after="0" w:line="220" w:lineRule="exact"/>
        <w:rPr>
          <w:sz w:val="20"/>
          <w:szCs w:val="20"/>
          <w:color w:val="auto"/>
        </w:rPr>
      </w:pPr>
    </w:p>
    <w:p>
      <w:pPr>
        <w:spacing w:after="0" w:line="271" w:lineRule="auto"/>
        <w:rPr>
          <w:sz w:val="20"/>
          <w:szCs w:val="20"/>
          <w:color w:val="auto"/>
        </w:rPr>
      </w:pPr>
      <w:r>
        <w:rPr>
          <w:rFonts w:ascii="Arial" w:cs="Arial" w:eastAsia="Arial" w:hAnsi="Arial"/>
          <w:sz w:val="18"/>
          <w:szCs w:val="18"/>
          <w:b w:val="1"/>
          <w:bCs w:val="1"/>
          <w:color w:val="auto"/>
        </w:rPr>
        <w:t xml:space="preserve">PITTSBURGH, PA – October 30, 2026 - </w:t>
      </w:r>
      <w:r>
        <w:rPr>
          <w:rFonts w:ascii="Arial" w:cs="Arial" w:eastAsia="Arial" w:hAnsi="Arial"/>
          <w:sz w:val="18"/>
          <w:szCs w:val="18"/>
          <w:color w:val="auto"/>
        </w:rPr>
        <w:t>Mastech Digital, Inc. (NYSE American: MHH) (“Mastech”), a leading provider of</w:t>
      </w:r>
      <w:r>
        <w:rPr>
          <w:rFonts w:ascii="Arial" w:cs="Arial" w:eastAsia="Arial" w:hAnsi="Arial"/>
          <w:sz w:val="18"/>
          <w:szCs w:val="18"/>
          <w:b w:val="1"/>
          <w:bCs w:val="1"/>
          <w:color w:val="auto"/>
        </w:rPr>
        <w:t xml:space="preserve"> </w:t>
      </w:r>
      <w:r>
        <w:rPr>
          <w:rFonts w:ascii="Arial" w:cs="Arial" w:eastAsia="Arial" w:hAnsi="Arial"/>
          <w:sz w:val="18"/>
          <w:szCs w:val="18"/>
          <w:color w:val="auto"/>
        </w:rPr>
        <w:t>Digital Transformation IT Services, announced today its financial results for the third quarter ended September 30, 2026.</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Third Quarter 2026 Highlights:</w:t>
      </w:r>
    </w:p>
    <w:p>
      <w:pPr>
        <w:spacing w:after="0" w:line="225"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MASTECH DIGITAL, INC.</w:t>
      </w:r>
    </w:p>
    <w:p>
      <w:pPr>
        <w:spacing w:after="0" w:line="31"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SUPPLEMENTAL FINANCIAL INFORMATION</w:t>
      </w:r>
    </w:p>
    <w:p>
      <w:pPr>
        <w:spacing w:after="0" w:line="9"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(Amounts in thousands)</w:t>
      </w:r>
    </w:p>
    <w:p>
      <w:pPr>
        <w:spacing w:after="0" w:line="9"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40" w:type="dxa"/>
            <w:vAlign w:val="bottom"/>
          </w:tcPr>
          <w:p>
            <w:pPr>
              <w:spacing w:after="0"/>
              <w:rPr>
                <w:sz w:val="20"/>
                <w:szCs w:val="20"/>
                <w:color w:val="auto"/>
              </w:rPr>
            </w:pPr>
          </w:p>
        </w:tc>
        <w:tc>
          <w:tcPr>
            <w:tcW w:w="3200" w:type="dxa"/>
            <w:vAlign w:val="bottom"/>
            <w:gridSpan w:val="7"/>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20" w:type="dxa"/>
            <w:vAlign w:val="bottom"/>
          </w:tcPr>
          <w:p>
            <w:pPr>
              <w:spacing w:after="0"/>
              <w:rPr>
                <w:sz w:val="20"/>
                <w:szCs w:val="20"/>
                <w:color w:val="auto"/>
              </w:rPr>
            </w:pPr>
          </w:p>
        </w:tc>
        <w:tc>
          <w:tcPr>
            <w:tcW w:w="2960" w:type="dxa"/>
            <w:vAlign w:val="bottom"/>
            <w:gridSpan w:val="6"/>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9"/>
              </w:rPr>
              <w:t>Nine Months ended September 30,</w:t>
            </w:r>
          </w:p>
        </w:tc>
      </w:tr>
      <w:tr>
        <w:trPr>
          <w:trHeight w:val="209"/>
        </w:trPr>
        <w:tc>
          <w:tcPr>
            <w:tcW w:w="344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Pr>
          <w:p>
            <w:pPr>
              <w:spacing w:after="0"/>
              <w:rPr>
                <w:sz w:val="18"/>
                <w:szCs w:val="18"/>
                <w:color w:val="auto"/>
              </w:rPr>
            </w:pPr>
          </w:p>
        </w:tc>
      </w:tr>
      <w:tr>
        <w:trPr>
          <w:trHeight w:val="209"/>
        </w:trPr>
        <w:tc>
          <w:tcPr>
            <w:tcW w:w="3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3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Data &amp; AI</w:t>
            </w:r>
          </w:p>
        </w:tc>
        <w:tc>
          <w:tcPr>
            <w:tcW w:w="2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14,122</w:t>
            </w:r>
          </w:p>
        </w:tc>
        <w:tc>
          <w:tcPr>
            <w:tcW w:w="240" w:type="dxa"/>
            <w:vAlign w:val="bottom"/>
          </w:tcPr>
          <w:p>
            <w:pPr>
              <w:spacing w:after="0"/>
              <w:rPr>
                <w:sz w:val="18"/>
                <w:szCs w:val="18"/>
                <w:color w:val="auto"/>
              </w:rPr>
            </w:pPr>
          </w:p>
        </w:tc>
        <w:tc>
          <w:tcPr>
            <w:tcW w:w="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15,160</w:t>
            </w:r>
          </w:p>
        </w:tc>
        <w:tc>
          <w:tcPr>
            <w:tcW w:w="3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40,190</w:t>
            </w:r>
          </w:p>
        </w:tc>
        <w:tc>
          <w:tcPr>
            <w:tcW w:w="24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46,894</w:t>
            </w:r>
          </w:p>
        </w:tc>
        <w:tc>
          <w:tcPr>
            <w:tcW w:w="180" w:type="dxa"/>
            <w:vAlign w:val="bottom"/>
          </w:tcPr>
          <w:p>
            <w:pPr>
              <w:spacing w:after="0"/>
              <w:rPr>
                <w:sz w:val="18"/>
                <w:szCs w:val="18"/>
                <w:color w:val="auto"/>
              </w:rPr>
            </w:pPr>
          </w:p>
        </w:tc>
      </w:tr>
      <w:tr>
        <w:trPr>
          <w:trHeight w:val="216"/>
        </w:trPr>
        <w:tc>
          <w:tcPr>
            <w:tcW w:w="34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Talent</w:t>
            </w:r>
          </w:p>
        </w:tc>
        <w:tc>
          <w:tcPr>
            <w:tcW w:w="26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27,865</w:t>
            </w:r>
          </w:p>
        </w:tc>
        <w:tc>
          <w:tcPr>
            <w:tcW w:w="2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33,336</w:t>
            </w:r>
          </w:p>
        </w:tc>
        <w:tc>
          <w:tcPr>
            <w:tcW w:w="3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84,327</w:t>
            </w:r>
          </w:p>
        </w:tc>
        <w:tc>
          <w:tcPr>
            <w:tcW w:w="2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99,016</w:t>
            </w:r>
          </w:p>
        </w:tc>
        <w:tc>
          <w:tcPr>
            <w:tcW w:w="180" w:type="dxa"/>
            <w:vAlign w:val="bottom"/>
            <w:tcBorders>
              <w:bottom w:val="single" w:sz="8" w:color="CFF0FC"/>
            </w:tcBorders>
            <w:shd w:val="clear" w:color="auto" w:fill="CFF0FC"/>
          </w:tcPr>
          <w:p>
            <w:pPr>
              <w:spacing w:after="0"/>
              <w:rPr>
                <w:sz w:val="18"/>
                <w:szCs w:val="18"/>
                <w:color w:val="auto"/>
              </w:rPr>
            </w:pPr>
          </w:p>
        </w:tc>
      </w:tr>
      <w:tr>
        <w:trPr>
          <w:trHeight w:val="230"/>
        </w:trPr>
        <w:tc>
          <w:tcPr>
            <w:tcW w:w="344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260" w:type="dxa"/>
            <w:vAlign w:val="bottom"/>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41,987</w:t>
            </w:r>
          </w:p>
        </w:tc>
        <w:tc>
          <w:tcPr>
            <w:tcW w:w="240" w:type="dxa"/>
            <w:vAlign w:val="bottom"/>
          </w:tcPr>
          <w:p>
            <w:pPr>
              <w:spacing w:after="0"/>
              <w:rPr>
                <w:sz w:val="20"/>
                <w:szCs w:val="20"/>
                <w:color w:val="auto"/>
              </w:rPr>
            </w:pPr>
          </w:p>
        </w:tc>
        <w:tc>
          <w:tcPr>
            <w:tcW w:w="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48,496</w:t>
            </w:r>
          </w:p>
        </w:tc>
        <w:tc>
          <w:tcPr>
            <w:tcW w:w="3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124,517</w:t>
            </w:r>
          </w:p>
        </w:tc>
        <w:tc>
          <w:tcPr>
            <w:tcW w:w="240" w:type="dxa"/>
            <w:vAlign w:val="bottom"/>
          </w:tcPr>
          <w:p>
            <w:pPr>
              <w:spacing w:after="0"/>
              <w:rPr>
                <w:sz w:val="20"/>
                <w:szCs w:val="20"/>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145,910</w:t>
            </w:r>
          </w:p>
        </w:tc>
        <w:tc>
          <w:tcPr>
            <w:tcW w:w="180" w:type="dxa"/>
            <w:vAlign w:val="bottom"/>
          </w:tcPr>
          <w:p>
            <w:pPr>
              <w:spacing w:after="0"/>
              <w:rPr>
                <w:sz w:val="20"/>
                <w:szCs w:val="20"/>
                <w:color w:val="auto"/>
              </w:rPr>
            </w:pPr>
          </w:p>
        </w:tc>
      </w:tr>
      <w:tr>
        <w:trPr>
          <w:trHeight w:val="216"/>
        </w:trPr>
        <w:tc>
          <w:tcPr>
            <w:tcW w:w="344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b w:val="1"/>
                <w:bCs w:val="1"/>
                <w:color w:val="auto"/>
              </w:rPr>
              <w:t xml:space="preserve">Gross Margin $ </w:t>
            </w:r>
            <w:r>
              <w:rPr>
                <w:rFonts w:ascii="Times New Roman" w:cs="Times New Roman" w:eastAsia="Times New Roman" w:hAnsi="Times New Roman"/>
                <w:sz w:val="24"/>
                <w:szCs w:val="24"/>
                <w:b w:val="1"/>
                <w:bCs w:val="1"/>
                <w:color w:val="auto"/>
                <w:vertAlign w:val="superscript"/>
              </w:rPr>
              <w:t>(1)</w:t>
            </w:r>
            <w:r>
              <w:rPr>
                <w:rFonts w:ascii="Times New Roman" w:cs="Times New Roman" w:eastAsia="Times New Roman" w:hAnsi="Times New Roman"/>
                <w:sz w:val="18"/>
                <w:szCs w:val="18"/>
                <w:b w:val="1"/>
                <w:bCs w:val="1"/>
                <w:color w:val="auto"/>
              </w:rPr>
              <w:t>:</w:t>
            </w:r>
          </w:p>
        </w:tc>
        <w:tc>
          <w:tcPr>
            <w:tcW w:w="26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3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Data &amp; AI</w:t>
            </w:r>
          </w:p>
        </w:tc>
        <w:tc>
          <w:tcPr>
            <w:tcW w:w="2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5,719</w:t>
            </w:r>
          </w:p>
        </w:tc>
        <w:tc>
          <w:tcPr>
            <w:tcW w:w="240" w:type="dxa"/>
            <w:vAlign w:val="bottom"/>
          </w:tcPr>
          <w:p>
            <w:pPr>
              <w:spacing w:after="0"/>
              <w:rPr>
                <w:sz w:val="18"/>
                <w:szCs w:val="18"/>
                <w:color w:val="auto"/>
              </w:rPr>
            </w:pPr>
          </w:p>
        </w:tc>
        <w:tc>
          <w:tcPr>
            <w:tcW w:w="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6,057</w:t>
            </w:r>
          </w:p>
        </w:tc>
        <w:tc>
          <w:tcPr>
            <w:tcW w:w="3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15,854</w:t>
            </w:r>
          </w:p>
        </w:tc>
        <w:tc>
          <w:tcPr>
            <w:tcW w:w="24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18,230</w:t>
            </w:r>
          </w:p>
        </w:tc>
        <w:tc>
          <w:tcPr>
            <w:tcW w:w="180" w:type="dxa"/>
            <w:vAlign w:val="bottom"/>
          </w:tcPr>
          <w:p>
            <w:pPr>
              <w:spacing w:after="0"/>
              <w:rPr>
                <w:sz w:val="18"/>
                <w:szCs w:val="18"/>
                <w:color w:val="auto"/>
              </w:rPr>
            </w:pPr>
          </w:p>
        </w:tc>
      </w:tr>
      <w:tr>
        <w:trPr>
          <w:trHeight w:val="216"/>
        </w:trPr>
        <w:tc>
          <w:tcPr>
            <w:tcW w:w="34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Talent</w:t>
            </w:r>
          </w:p>
        </w:tc>
        <w:tc>
          <w:tcPr>
            <w:tcW w:w="26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6,446</w:t>
            </w:r>
          </w:p>
        </w:tc>
        <w:tc>
          <w:tcPr>
            <w:tcW w:w="2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7,658</w:t>
            </w:r>
          </w:p>
        </w:tc>
        <w:tc>
          <w:tcPr>
            <w:tcW w:w="3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19,335</w:t>
            </w:r>
          </w:p>
        </w:tc>
        <w:tc>
          <w:tcPr>
            <w:tcW w:w="2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22,197</w:t>
            </w:r>
          </w:p>
        </w:tc>
        <w:tc>
          <w:tcPr>
            <w:tcW w:w="180" w:type="dxa"/>
            <w:vAlign w:val="bottom"/>
            <w:tcBorders>
              <w:bottom w:val="single" w:sz="8" w:color="CFF0FC"/>
            </w:tcBorders>
            <w:shd w:val="clear" w:color="auto" w:fill="CFF0FC"/>
          </w:tcPr>
          <w:p>
            <w:pPr>
              <w:spacing w:after="0"/>
              <w:rPr>
                <w:sz w:val="18"/>
                <w:szCs w:val="18"/>
                <w:color w:val="auto"/>
              </w:rPr>
            </w:pPr>
          </w:p>
        </w:tc>
      </w:tr>
      <w:tr>
        <w:trPr>
          <w:trHeight w:val="209"/>
        </w:trPr>
        <w:tc>
          <w:tcPr>
            <w:tcW w:w="344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Total gross margin $</w:t>
            </w:r>
          </w:p>
        </w:tc>
        <w:tc>
          <w:tcPr>
            <w:tcW w:w="260" w:type="dxa"/>
            <w:vAlign w:val="bottom"/>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12,165</w:t>
            </w:r>
          </w:p>
        </w:tc>
        <w:tc>
          <w:tcPr>
            <w:tcW w:w="240" w:type="dxa"/>
            <w:vAlign w:val="bottom"/>
          </w:tcPr>
          <w:p>
            <w:pPr>
              <w:spacing w:after="0"/>
              <w:rPr>
                <w:sz w:val="18"/>
                <w:szCs w:val="18"/>
                <w:color w:val="auto"/>
              </w:rPr>
            </w:pPr>
          </w:p>
        </w:tc>
        <w:tc>
          <w:tcPr>
            <w:tcW w:w="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13,715</w:t>
            </w:r>
          </w:p>
        </w:tc>
        <w:tc>
          <w:tcPr>
            <w:tcW w:w="3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35,189</w:t>
            </w:r>
          </w:p>
        </w:tc>
        <w:tc>
          <w:tcPr>
            <w:tcW w:w="24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40,427</w:t>
            </w:r>
          </w:p>
        </w:tc>
        <w:tc>
          <w:tcPr>
            <w:tcW w:w="180" w:type="dxa"/>
            <w:vAlign w:val="bottom"/>
          </w:tcPr>
          <w:p>
            <w:pPr>
              <w:spacing w:after="0"/>
              <w:rPr>
                <w:sz w:val="18"/>
                <w:szCs w:val="18"/>
                <w:color w:val="auto"/>
              </w:rPr>
            </w:pPr>
          </w:p>
        </w:tc>
      </w:tr>
      <w:tr>
        <w:trPr>
          <w:trHeight w:val="20"/>
        </w:trPr>
        <w:tc>
          <w:tcPr>
            <w:tcW w:w="34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7"/>
        </w:trPr>
        <w:tc>
          <w:tcPr>
            <w:tcW w:w="3440" w:type="dxa"/>
            <w:vAlign w:val="bottom"/>
            <w:shd w:val="clear" w:color="auto" w:fill="CFF0FC"/>
          </w:tcPr>
          <w:p>
            <w:pPr>
              <w:spacing w:after="0" w:line="197" w:lineRule="exact"/>
              <w:rPr>
                <w:sz w:val="20"/>
                <w:szCs w:val="20"/>
                <w:color w:val="auto"/>
              </w:rPr>
            </w:pPr>
            <w:r>
              <w:rPr>
                <w:rFonts w:ascii="Times New Roman" w:cs="Times New Roman" w:eastAsia="Times New Roman" w:hAnsi="Times New Roman"/>
                <w:sz w:val="17"/>
                <w:szCs w:val="17"/>
                <w:b w:val="1"/>
                <w:bCs w:val="1"/>
                <w:color w:val="auto"/>
              </w:rPr>
              <w:t xml:space="preserve">Gross Margin % </w:t>
            </w:r>
            <w:r>
              <w:rPr>
                <w:rFonts w:ascii="Times New Roman" w:cs="Times New Roman" w:eastAsia="Times New Roman" w:hAnsi="Times New Roman"/>
                <w:sz w:val="22"/>
                <w:szCs w:val="22"/>
                <w:b w:val="1"/>
                <w:bCs w:val="1"/>
                <w:color w:val="auto"/>
                <w:vertAlign w:val="superscript"/>
              </w:rPr>
              <w:t>(1)</w:t>
            </w:r>
            <w:r>
              <w:rPr>
                <w:rFonts w:ascii="Times New Roman" w:cs="Times New Roman" w:eastAsia="Times New Roman" w:hAnsi="Times New Roman"/>
                <w:sz w:val="17"/>
                <w:szCs w:val="17"/>
                <w:b w:val="1"/>
                <w:bCs w:val="1"/>
                <w:color w:val="auto"/>
              </w:rPr>
              <w:t>:</w:t>
            </w:r>
          </w:p>
        </w:tc>
        <w:tc>
          <w:tcPr>
            <w:tcW w:w="26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r>
      <w:tr>
        <w:trPr>
          <w:trHeight w:val="216"/>
        </w:trPr>
        <w:tc>
          <w:tcPr>
            <w:tcW w:w="3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Data &amp; AI</w:t>
            </w:r>
          </w:p>
        </w:tc>
        <w:tc>
          <w:tcPr>
            <w:tcW w:w="26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40.5%</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40.0%</w:t>
            </w:r>
          </w:p>
        </w:tc>
        <w:tc>
          <w:tcPr>
            <w:tcW w:w="12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39.4%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38.9%</w:t>
            </w:r>
          </w:p>
        </w:tc>
      </w:tr>
      <w:tr>
        <w:trPr>
          <w:trHeight w:val="216"/>
        </w:trPr>
        <w:tc>
          <w:tcPr>
            <w:tcW w:w="34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Talent</w:t>
            </w:r>
          </w:p>
        </w:tc>
        <w:tc>
          <w:tcPr>
            <w:tcW w:w="26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23.1%</w:t>
            </w: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23.0%</w:t>
            </w:r>
          </w:p>
        </w:tc>
        <w:tc>
          <w:tcPr>
            <w:tcW w:w="12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22.4%</w:t>
            </w:r>
          </w:p>
        </w:tc>
      </w:tr>
      <w:tr>
        <w:trPr>
          <w:trHeight w:val="20"/>
        </w:trPr>
        <w:tc>
          <w:tcPr>
            <w:tcW w:w="34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r>
      <w:tr>
        <w:trPr>
          <w:trHeight w:val="209"/>
        </w:trPr>
        <w:tc>
          <w:tcPr>
            <w:tcW w:w="344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Total gross margin %</w:t>
            </w:r>
          </w:p>
        </w:tc>
        <w:tc>
          <w:tcPr>
            <w:tcW w:w="26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28.3%</w:t>
            </w:r>
          </w:p>
        </w:tc>
        <w:tc>
          <w:tcPr>
            <w:tcW w:w="12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27.7%</w:t>
            </w:r>
          </w:p>
        </w:tc>
      </w:tr>
      <w:tr>
        <w:trPr>
          <w:trHeight w:val="216"/>
        </w:trPr>
        <w:tc>
          <w:tcPr>
            <w:tcW w:w="34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GAAP Net Income (Loss)</w:t>
            </w:r>
          </w:p>
        </w:tc>
        <w:tc>
          <w:tcPr>
            <w:tcW w:w="2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tcPr>
          <w:p>
            <w:pPr>
              <w:spacing w:after="0"/>
              <w:rPr>
                <w:sz w:val="18"/>
                <w:szCs w:val="18"/>
                <w:color w:val="auto"/>
              </w:rPr>
            </w:pPr>
          </w:p>
        </w:tc>
        <w:tc>
          <w:tcPr>
            <w:tcW w:w="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3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24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(363)</w:t>
            </w:r>
          </w:p>
        </w:tc>
      </w:tr>
      <w:tr>
        <w:trPr>
          <w:trHeight w:val="216"/>
        </w:trPr>
        <w:tc>
          <w:tcPr>
            <w:tcW w:w="3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GAAP Diluted Earnings (Loss) Per Share</w:t>
            </w:r>
          </w:p>
        </w:tc>
        <w:tc>
          <w:tcPr>
            <w:tcW w:w="26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24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24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(0.03)</w:t>
            </w:r>
          </w:p>
        </w:tc>
      </w:tr>
      <w:tr>
        <w:trPr>
          <w:trHeight w:val="216"/>
        </w:trPr>
        <w:tc>
          <w:tcPr>
            <w:tcW w:w="3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3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Non-GAAP Net Income</w:t>
            </w:r>
          </w:p>
        </w:tc>
        <w:tc>
          <w:tcPr>
            <w:tcW w:w="26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1,222</w:t>
            </w:r>
          </w:p>
        </w:tc>
        <w:tc>
          <w:tcPr>
            <w:tcW w:w="24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3,467</w:t>
            </w: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3,448</w:t>
            </w:r>
          </w:p>
        </w:tc>
        <w:tc>
          <w:tcPr>
            <w:tcW w:w="24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6,053</w:t>
            </w:r>
          </w:p>
        </w:tc>
        <w:tc>
          <w:tcPr>
            <w:tcW w:w="180" w:type="dxa"/>
            <w:vAlign w:val="bottom"/>
            <w:shd w:val="clear" w:color="auto" w:fill="CFF0FC"/>
          </w:tcPr>
          <w:p>
            <w:pPr>
              <w:spacing w:after="0"/>
              <w:rPr>
                <w:sz w:val="18"/>
                <w:szCs w:val="18"/>
                <w:color w:val="auto"/>
              </w:rPr>
            </w:pPr>
          </w:p>
        </w:tc>
      </w:tr>
      <w:tr>
        <w:trPr>
          <w:trHeight w:val="234"/>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Non-GAAP Diluted Earnings Per Share</w:t>
            </w:r>
          </w:p>
        </w:tc>
        <w:tc>
          <w:tcPr>
            <w:tcW w:w="2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240" w:type="dxa"/>
            <w:vAlign w:val="bottom"/>
          </w:tcPr>
          <w:p>
            <w:pPr>
              <w:spacing w:after="0"/>
              <w:rPr>
                <w:sz w:val="20"/>
                <w:szCs w:val="20"/>
                <w:color w:val="auto"/>
              </w:rPr>
            </w:pPr>
          </w:p>
        </w:tc>
        <w:tc>
          <w:tcPr>
            <w:tcW w:w="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3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240" w:type="dxa"/>
            <w:vAlign w:val="bottom"/>
          </w:tcPr>
          <w:p>
            <w:pPr>
              <w:spacing w:after="0"/>
              <w:rPr>
                <w:sz w:val="20"/>
                <w:szCs w:val="20"/>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1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2994025</wp:posOffset>
            </wp:positionH>
            <wp:positionV relativeFrom="paragraph">
              <wp:posOffset>-2145665</wp:posOffset>
            </wp:positionV>
            <wp:extent cx="1111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4014470</wp:posOffset>
            </wp:positionH>
            <wp:positionV relativeFrom="paragraph">
              <wp:posOffset>-2145665</wp:posOffset>
            </wp:positionV>
            <wp:extent cx="11176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5034280</wp:posOffset>
            </wp:positionH>
            <wp:positionV relativeFrom="paragraph">
              <wp:posOffset>-2145665</wp:posOffset>
            </wp:positionV>
            <wp:extent cx="11112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6062980</wp:posOffset>
            </wp:positionH>
            <wp:positionV relativeFrom="paragraph">
              <wp:posOffset>-2145665</wp:posOffset>
            </wp:positionV>
            <wp:extent cx="11176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2994025</wp:posOffset>
            </wp:positionH>
            <wp:positionV relativeFrom="paragraph">
              <wp:posOffset>-1562735</wp:posOffset>
            </wp:positionV>
            <wp:extent cx="11112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4014470</wp:posOffset>
            </wp:positionH>
            <wp:positionV relativeFrom="paragraph">
              <wp:posOffset>-1562735</wp:posOffset>
            </wp:positionV>
            <wp:extent cx="11176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5034280</wp:posOffset>
            </wp:positionH>
            <wp:positionV relativeFrom="paragraph">
              <wp:posOffset>-1562735</wp:posOffset>
            </wp:positionV>
            <wp:extent cx="11112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6062980</wp:posOffset>
            </wp:positionH>
            <wp:positionV relativeFrom="paragraph">
              <wp:posOffset>-1562735</wp:posOffset>
            </wp:positionV>
            <wp:extent cx="11176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2994025</wp:posOffset>
            </wp:positionH>
            <wp:positionV relativeFrom="paragraph">
              <wp:posOffset>-979805</wp:posOffset>
            </wp:positionV>
            <wp:extent cx="11112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4014470</wp:posOffset>
            </wp:positionH>
            <wp:positionV relativeFrom="paragraph">
              <wp:posOffset>-979805</wp:posOffset>
            </wp:positionV>
            <wp:extent cx="11176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5034280</wp:posOffset>
            </wp:positionH>
            <wp:positionV relativeFrom="paragraph">
              <wp:posOffset>-979805</wp:posOffset>
            </wp:positionV>
            <wp:extent cx="11112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6062980</wp:posOffset>
            </wp:positionH>
            <wp:positionV relativeFrom="paragraph">
              <wp:posOffset>-979805</wp:posOffset>
            </wp:positionV>
            <wp:extent cx="11176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145" w:lineRule="exact"/>
        <w:rPr>
          <w:sz w:val="20"/>
          <w:szCs w:val="20"/>
          <w:color w:val="auto"/>
        </w:rPr>
      </w:pPr>
    </w:p>
    <w:p>
      <w:pPr>
        <w:ind w:right="220" w:firstLine="4"/>
        <w:spacing w:after="0" w:line="241" w:lineRule="auto"/>
        <w:tabs>
          <w:tab w:leader="none" w:pos="197" w:val="left"/>
        </w:tabs>
        <w:numPr>
          <w:ilvl w:val="0"/>
          <w:numId w:val="2"/>
        </w:numPr>
        <w:rPr>
          <w:rFonts w:ascii="Arial" w:cs="Arial" w:eastAsia="Arial" w:hAnsi="Arial"/>
          <w:sz w:val="23"/>
          <w:szCs w:val="23"/>
          <w:color w:val="auto"/>
          <w:vertAlign w:val="superscript"/>
        </w:rPr>
      </w:pPr>
      <w:r>
        <w:rPr>
          <w:rFonts w:ascii="Arial" w:cs="Arial" w:eastAsia="Arial" w:hAnsi="Arial"/>
          <w:sz w:val="17"/>
          <w:szCs w:val="17"/>
          <w:color w:val="auto"/>
        </w:rPr>
        <w:t>Gross margin difference between the supplemental segment and consolidated results primarily reflects non-allocated severance expense of $0.1 million and $0.3 million recorded in cost of goods sold during the third quarter of 2026 and 2025 respectively.</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“Use of Non-GAAP Financial Measures” and “Reconciliation of GAAP Measures to Non-GAAP Measures” belo</w:t>
      </w:r>
      <w:r>
        <w:rPr>
          <w:rFonts w:ascii="Arial" w:cs="Arial" w:eastAsia="Arial" w:hAnsi="Arial"/>
          <w:sz w:val="18"/>
          <w:szCs w:val="18"/>
          <w:color w:val="auto"/>
        </w:rPr>
        <w:t>w.</w:t>
      </w:r>
    </w:p>
    <w:p>
      <w:pPr>
        <w:spacing w:after="0" w:line="211" w:lineRule="exact"/>
        <w:rPr>
          <w:sz w:val="20"/>
          <w:szCs w:val="20"/>
          <w:color w:val="auto"/>
        </w:rPr>
      </w:pPr>
    </w:p>
    <w:p>
      <w:pPr>
        <w:ind w:right="40"/>
        <w:spacing w:after="0" w:line="272" w:lineRule="auto"/>
        <w:rPr>
          <w:sz w:val="20"/>
          <w:szCs w:val="20"/>
          <w:color w:val="auto"/>
        </w:rPr>
      </w:pPr>
      <w:r>
        <w:rPr>
          <w:rFonts w:ascii="Times New Roman" w:cs="Times New Roman" w:eastAsia="Times New Roman" w:hAnsi="Times New Roman"/>
          <w:sz w:val="17"/>
          <w:szCs w:val="17"/>
          <w:color w:val="auto"/>
        </w:rPr>
        <w:t>Total consolidated revenues of $42.0 million during the quarter represented a decrease of 13.4% on a year-over-year basis, but an increase of 1.3% on a sequential basis from the second quarter of 2026. Data and AI segment revenues declined 6.8% on a year-over-year basis but increased 4.7% on a sequential basis from the second quarter of 2026, the second consecutive quarter of sequential growth since 2024. Data &amp; AI segment reported bookings of $10.8 million during the quarter when compared to $8.4 million in the third quarter of 2025. Talent segment revenues declined 16.4% on a year-over-year basis, and a decrease of 0.4% on a sequential basis from the second quarter of 2026, driven by a 21.0% decrease in billable consultants since the third quarter of 2025, as a top ten client continued insourcing services we provide in this segment and we continued to exit lower-margin and non-strategic positions. Strong average bill rate of $92.37, as compared to $89.65 during the third quarter of 2025 reflected a continued focus on revenue quality.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862330</wp:posOffset>
            </wp:positionV>
            <wp:extent cx="703770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765" w:right="10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Management Commentary:</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Nirav Patel, Mastech's President and Chief Executive Officer, stated, “This quarter marks a significant milestone, as we launched the new Mastech brand and our vision of the Knowledge-first Enterprise. We believe enterprises need to codify the knowledge held by their people, customers, and clients to transform with AI. We are seeing enterprises move past AI experimentation. They now want to put their own data and knowledge to work in production, and that is driving our focus on building trusted data foundations, Applied AI solutions, and the specialized talent that our clients need to deliver AI outcomes at scale.”</w:t>
      </w:r>
    </w:p>
    <w:p>
      <w:pPr>
        <w:spacing w:after="0" w:line="18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are pleased to share that our Data &amp; AI segment delivered a second consecutive quarter of sequential revenue growth. Segment revenues grew 4.7% from the second quarter of 2026, and bookings were $10.8 million, up 29.0% from $8.4 million in the same quarter last year. Our focus on high-value work in the Data &amp; AI segment increased gross margins this quarter by 50 basis points year-over-year to 40.5% on a Non-GAAP basis.”</w:t>
      </w:r>
    </w:p>
    <w:p>
      <w:pPr>
        <w:spacing w:after="0" w:line="1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differentiator is the ability to turn a client’s own data and knowledge into practical, Applied AI solutions that deliver outcomes. This quarter, we advanced our Applied AI delivery capabilities, supported by our certified and advanced partner designations, including Solutions Partner for Cloud and AI Platform status in the Microsoft AI Cloud Partner Program. These relationships and designations help us provide our customers access to skilled delivery talent and technical resources as they put AI to work at scale. We expect to continue investing in forward-leaning capabilities into 2027, as we believe they continue to enable growth and progress towards the AI engineering talent and modern data platform practices we have been building."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Balance Sheet &amp; Liquidity Update:</w:t>
      </w:r>
    </w:p>
    <w:p>
      <w:pPr>
        <w:spacing w:after="0" w:line="229"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As of September 30, 2026, Mastech had liquidity of $56.2 million, including cash and cash equivalents of $37.9 million and approximately $18.3 million of borrowing capacity available under its credit facility, with no bank debt.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w:t>
      </w:r>
    </w:p>
    <w:p>
      <w:pPr>
        <w:spacing w:after="0" w:line="22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 xml:space="preserve">Mastech will host a conference call to discuss the Company’s third quarter 2026 financial results on October 30, 2026 at 9:00 a.m. Eastern Time. Please register at </w:t>
      </w:r>
      <w:r>
        <w:rPr>
          <w:rFonts w:ascii="Times New Roman" w:cs="Times New Roman" w:eastAsia="Times New Roman" w:hAnsi="Times New Roman"/>
          <w:sz w:val="18"/>
          <w:szCs w:val="18"/>
          <w:u w:val="single" w:color="auto"/>
          <w:color w:val="0000FF"/>
        </w:rPr>
        <w:t>https://register-conf.media-server.com/register/BI4057cc455c3848bf9bfdb0cf25216dc7</w:t>
      </w:r>
      <w:r>
        <w:rPr>
          <w:rFonts w:ascii="Times New Roman" w:cs="Times New Roman" w:eastAsia="Times New Roman" w:hAnsi="Times New Roman"/>
          <w:sz w:val="18"/>
          <w:szCs w:val="18"/>
          <w:color w:val="auto"/>
        </w:rPr>
        <w:t xml:space="preserve"> to join telephonically. Once registered, participants will receive the dial-in information and a unique PIN to access the call. The dial-in information and unique PIN will be sent to the email used to register for the call. The unique PIN is exclusive to the registrant and can only be used by one person at a time. A live audio webcast of the conference call can be accessed through the Mastech investor relations website at </w:t>
      </w:r>
      <w:r>
        <w:rPr>
          <w:rFonts w:ascii="Times New Roman" w:cs="Times New Roman" w:eastAsia="Times New Roman" w:hAnsi="Times New Roman"/>
          <w:sz w:val="18"/>
          <w:szCs w:val="18"/>
          <w:u w:val="single" w:color="auto"/>
          <w:color w:val="0000FF"/>
        </w:rPr>
        <w:t>https://investors.mastech.com</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and a webcast replay will be accessible for a limited time following the scheduled call.</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Mastech Digital, Inc.:</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Founded in 1986, Mastech (NYSE American: MHH) helps organizations transform their unique enterprise knowledge into business advantage by unlocking the value embedded across their people, operations, data, and systems. Through our expertise in AI, data modernization, cloud and data platforms, and specialized technology talent, we enable enterprises to innovate faster, make smarter decisions, and achieve meaningful business outcomes. By combining trusted data foundations, AI-powered solutions, modern platforms, and expert talent, we help organizations accelerate transformation and thrive in a constantly evolving business environment. Headquartered in Pittsburgh, Pennsylvania, Mastech serves more than 250 enterprise customers globally, delivering the data foundations, AI-powered solutions, and specialized talent needed to help modern, future-ready organizations Thrive on What’s Next.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Non-GAAP Measures: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press release contains non-GAAP financial measures to supplement our financial results presented on a GAAP basis. The presentation of these financial measures is not intended to be considered in isolation or as a substitute for, or superior to, financial information prepared and presented in accordance with GAAP. Investors are cautioned that there are material limitations associated with the use of non-GAAP financial measures as an analytical tool. Reconciliations of these non-GAAP measures to their comparable GAAP measures are included in the attached financial tables.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that providing non-GAAP net income and non-GAAP diluted earnings per share offers investors useful supplemental information about the financial performance of our business, enables comparison of financial results between periods where certain items may vary independent of business performance, and allows for greater transparency with respect to key metrics used by management in operating our business. Additionally, management uses these non-GAAP financial measures in evaluating the Company’s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869950</wp:posOffset>
            </wp:positionV>
            <wp:extent cx="703770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981" w:right="10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t>Specifically, the non-GAAP financial measures contained herein exclude the following expense items:</w:t>
      </w:r>
    </w:p>
    <w:p>
      <w:pPr>
        <w:spacing w:after="0" w:line="22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Amortization of acquired intangible assets: </w:t>
      </w:r>
      <w:r>
        <w:rPr>
          <w:rFonts w:ascii="Times New Roman" w:cs="Times New Roman" w:eastAsia="Times New Roman" w:hAnsi="Times New Roman"/>
          <w:sz w:val="18"/>
          <w:szCs w:val="18"/>
          <w:color w:val="auto"/>
        </w:rPr>
        <w:t>We amortize intangible assets acquired in connection with our June 2015 acquisition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Hudson IT, our July 2017 acquisition of the services division of InfoTrellis, Inc. and our October 2020 acquisition of AmberLeaf Partners. We exclude these amortization expenses in our non-GAAP financial measures because we believe it allows investors to make more meaningful comparisons between our operating results and those of other companies within our industry and facilitates a helpful comparison of our results with other periods.</w:t>
      </w:r>
    </w:p>
    <w:p>
      <w:pPr>
        <w:spacing w:after="0" w:line="17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Stock-based compensation expenses: </w:t>
      </w:r>
      <w:r>
        <w:rPr>
          <w:rFonts w:ascii="Times New Roman" w:cs="Times New Roman" w:eastAsia="Times New Roman" w:hAnsi="Times New Roman"/>
          <w:sz w:val="18"/>
          <w:szCs w:val="18"/>
          <w:color w:val="auto"/>
        </w:rPr>
        <w:t>We incur material recurring expenses related to non-cash, stock-based compensation. We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exclude these expenses from our non-GAAP financial measures because we believe that it provides investors with meaningful supplemental information regarding operational performance. In particular, because of varying available valuation methodologies, subjective assumptions, and the variety of award types that companies can use under ASC 718, we believe that providing non-GAAP financial measures that exclude these expenses allows investors to make more meaningful comparisons between our operating results and those of other companies within our industry and facilitate comparisons of our results with other periods.</w:t>
      </w:r>
    </w:p>
    <w:p>
      <w:pPr>
        <w:spacing w:after="0" w:line="18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Severance expense: </w:t>
      </w:r>
      <w:r>
        <w:rPr>
          <w:rFonts w:ascii="Times New Roman" w:cs="Times New Roman" w:eastAsia="Times New Roman" w:hAnsi="Times New Roman"/>
          <w:sz w:val="18"/>
          <w:szCs w:val="18"/>
          <w:color w:val="auto"/>
        </w:rPr>
        <w:t>From time to time, we incur severance expenses related to the termination by the Company of leadership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key personnel. During the three and nine months ended September 30, 2026, the Company recorded severance expense of approximately $0.2 million, of which approximately $0.1 million was recognized within cost of goods sold. During the three and nine months ended September 30, 2025, the Company recorded severance expense of $1.1 million and $2.7 million, respectively, of which $0.3 million was recognized within cost of goods sold during the third quarter of 2025. The 2025 amounts reflect the departure of our former Chief Financial Officer and other leadership changes, and strategic initiatives undertaken to better align our organizational structure with our long-term growth objectives. Amounts recognized within cost of goods sold were not allocated to the reportable segments and therefore contribute to a gross margin variance between the supplemental segment presentation and the consolidated financial results. We believe that providing non-GAAP financial measures that exclude these expenses allows investors to make more meaningful comparisons between our operating results and those of other companies within our industry and facilitates comparison of our results with other periods.</w:t>
      </w:r>
    </w:p>
    <w:p>
      <w:pPr>
        <w:spacing w:after="0" w:line="16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Finance and accounting transition expense: </w:t>
      </w:r>
      <w:r>
        <w:rPr>
          <w:rFonts w:ascii="Times New Roman" w:cs="Times New Roman" w:eastAsia="Times New Roman" w:hAnsi="Times New Roman"/>
          <w:sz w:val="18"/>
          <w:szCs w:val="18"/>
          <w:color w:val="auto"/>
        </w:rPr>
        <w:t>During the first quarter of 2025, the Company’s Board of Directors made the decision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implement a long-term cost-cutting initiative to transition the Company’s finance and accounting functions to India. During the three and nine months ended September 30, 2025, the Company incurred $0.9 million and $1.6 million, respectively, of severance and costs related to the duplication of resources and travel during the training and knowledge transfer process. The transition was completed as of December 31, 2025, and no such costs were incurred in 2026. We believe that providing non-GAAP financial measures that exclude these expenses allows investors to make more meaningful comparisons between our operating results and those of other companies within our industry and facilitates comparison of our results with other periods.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Certain statements contained in this release are forward-looking statements based on management’s expectations, estimates, projections, and assumptions. Words such as “expects,” “anticipates,” “plans,” “believes,” “scheduled,” “estimates” and variations of these words and similar expressions are intended to identify forward-looking statements, which include but are not limited to, projections of and statements regarding the Company’s ability to generate revenues, earnings, and cash flow, and projections of and statements regarding the Company’s operations, business, segments, expected financial results, performance, prospects, opportunities, priorities, ongoing objectives, strategies and outlook (including the timing, effectiveness and anticipated results of Company initiatives, strategies, business plans and models). These statements are based on information currently available to the Company and it assumes no obligation to update the forward-looking statements as circumstances change. These statements are not guarantees of future performance and involve certain risks and uncertainties, which are difficult to predict. Therefore, actual future results and trends may differ materially from what is forecasted in forward-looking statements due to a variety of factors, including, without limitation, the level of market demand for the Company’s services, the highly competitive market for the types of services offered by the Company, the impact of competitive factors on profit margins, market and general economic conditions that could cause the Company’s customers to reduce their spending for its services, the Company’s ability to create, acquire and build new lines of business, to attract and retain qualified personnel, reduce costs and conserve cash, the Company’s strategies, initiatives and expectations concerning its operations, segments and operating results, the extent to which the Company’s business is adversely affected by the impacts of the COVID-19 pandemic or any other health epidemics or other outbreaks that disrupt day-to-day activities and other risks that are described in more detail in the Company’s filings with the Securities and Exchange Commission, including its Form 10-K for the year ended December 31, 2025.</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Investor Relations Contact:</w:t>
      </w:r>
    </w:p>
    <w:p>
      <w:pPr>
        <w:spacing w:after="0" w:line="2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u w:val="single" w:color="auto"/>
          <w:color w:val="0000FF"/>
        </w:rPr>
        <w:t>Investors@mastechdigital.com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878840</wp:posOffset>
            </wp:positionV>
            <wp:extent cx="703770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985" w:right="1099" w:bottom="1440" w:gutter="0" w:footer="0" w:header="0"/>
        </w:sectPr>
      </w:pPr>
    </w:p>
    <w:bookmarkStart w:id="6" w:name="page7"/>
    <w:bookmarkEnd w:id="6"/>
    <w:p>
      <w:pPr>
        <w:spacing w:after="0" w:line="200" w:lineRule="exact"/>
        <w:rPr>
          <w:sz w:val="20"/>
          <w:szCs w:val="20"/>
          <w:color w:val="auto"/>
        </w:rPr>
      </w:pPr>
    </w:p>
    <w:p>
      <w:pPr>
        <w:spacing w:after="0" w:line="35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MASTECH DIGITAL, INC.</w:t>
      </w:r>
    </w:p>
    <w:p>
      <w:pPr>
        <w:spacing w:after="0" w:line="3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(Amounts in thousands)</w:t>
      </w:r>
    </w:p>
    <w:p>
      <w:pPr>
        <w:spacing w:after="0" w:line="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60" w:type="dxa"/>
            <w:vAlign w:val="bottom"/>
          </w:tcPr>
          <w:p>
            <w:pPr>
              <w:spacing w:after="0"/>
              <w:rPr>
                <w:sz w:val="18"/>
                <w:szCs w:val="18"/>
                <w:color w:val="auto"/>
              </w:rPr>
            </w:pPr>
          </w:p>
        </w:tc>
        <w:tc>
          <w:tcPr>
            <w:tcW w:w="212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660" w:type="dxa"/>
            <w:vAlign w:val="bottom"/>
          </w:tcPr>
          <w:p>
            <w:pPr>
              <w:spacing w:after="0"/>
              <w:rPr>
                <w:sz w:val="20"/>
                <w:szCs w:val="20"/>
                <w:color w:val="auto"/>
              </w:rPr>
            </w:pPr>
          </w:p>
        </w:tc>
        <w:tc>
          <w:tcPr>
            <w:tcW w:w="6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210"/>
        </w:trPr>
        <w:tc>
          <w:tcPr>
            <w:tcW w:w="66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100" w:type="dxa"/>
            <w:vAlign w:val="bottom"/>
            <w:shd w:val="clear" w:color="auto" w:fill="CFF0FC"/>
          </w:tcPr>
          <w:p>
            <w:pPr>
              <w:ind w:left="266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1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37,939</w:t>
            </w: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36,533</w:t>
            </w:r>
          </w:p>
        </w:tc>
        <w:tc>
          <w:tcPr>
            <w:tcW w:w="100" w:type="dxa"/>
            <w:vAlign w:val="bottom"/>
            <w:shd w:val="clear" w:color="auto" w:fill="CFF0FC"/>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25,634</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26,396</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10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16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6,959</w:t>
            </w:r>
          </w:p>
        </w:tc>
        <w:tc>
          <w:tcPr>
            <w:tcW w:w="8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5,647</w:t>
            </w:r>
          </w:p>
        </w:tc>
        <w:tc>
          <w:tcPr>
            <w:tcW w:w="100" w:type="dxa"/>
            <w:vAlign w:val="bottom"/>
            <w:tcBorders>
              <w:bottom w:val="single" w:sz="8" w:color="CFF0FC"/>
            </w:tcBorders>
            <w:shd w:val="clear" w:color="auto" w:fill="CFF0FC"/>
          </w:tcPr>
          <w:p>
            <w:pPr>
              <w:spacing w:after="0"/>
              <w:rPr>
                <w:sz w:val="18"/>
                <w:szCs w:val="18"/>
                <w:color w:val="auto"/>
              </w:rPr>
            </w:pPr>
          </w:p>
        </w:tc>
        <w:tc>
          <w:tcPr>
            <w:tcW w:w="660" w:type="dxa"/>
            <w:vAlign w:val="bottom"/>
          </w:tcPr>
          <w:p>
            <w:pPr>
              <w:spacing w:after="0"/>
              <w:rPr>
                <w:sz w:val="18"/>
                <w:szCs w:val="18"/>
                <w:color w:val="auto"/>
              </w:rPr>
            </w:pPr>
          </w:p>
        </w:tc>
      </w:tr>
      <w:tr>
        <w:trPr>
          <w:trHeight w:val="209"/>
        </w:trPr>
        <w:tc>
          <w:tcPr>
            <w:tcW w:w="660" w:type="dxa"/>
            <w:vAlign w:val="bottom"/>
          </w:tcPr>
          <w:p>
            <w:pPr>
              <w:spacing w:after="0"/>
              <w:rPr>
                <w:sz w:val="18"/>
                <w:szCs w:val="18"/>
                <w:color w:val="auto"/>
              </w:rPr>
            </w:pPr>
          </w:p>
        </w:tc>
        <w:tc>
          <w:tcPr>
            <w:tcW w:w="61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70,532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68,576</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Equipment, enterprise software and leasehold improvements, net</w:t>
            </w: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1,248</w:t>
            </w: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1,557</w:t>
            </w:r>
          </w:p>
        </w:tc>
        <w:tc>
          <w:tcPr>
            <w:tcW w:w="100" w:type="dxa"/>
            <w:vAlign w:val="bottom"/>
            <w:shd w:val="clear" w:color="auto" w:fill="CFF0FC"/>
          </w:tcPr>
          <w:p>
            <w:pPr>
              <w:spacing w:after="0"/>
              <w:rPr>
                <w:sz w:val="18"/>
                <w:szCs w:val="18"/>
                <w:color w:val="auto"/>
              </w:rPr>
            </w:pPr>
          </w:p>
        </w:tc>
        <w:tc>
          <w:tcPr>
            <w:tcW w:w="660" w:type="dxa"/>
            <w:vAlign w:val="bottom"/>
          </w:tcPr>
          <w:p>
            <w:pPr>
              <w:spacing w:after="0"/>
              <w:rPr>
                <w:sz w:val="18"/>
                <w:szCs w:val="18"/>
                <w:color w:val="auto"/>
              </w:rPr>
            </w:pPr>
          </w:p>
        </w:tc>
      </w:tr>
      <w:tr>
        <w:trPr>
          <w:trHeight w:val="432"/>
        </w:trPr>
        <w:tc>
          <w:tcPr>
            <w:tcW w:w="660" w:type="dxa"/>
            <w:vAlign w:val="bottom"/>
          </w:tcPr>
          <w:p>
            <w:pPr>
              <w:spacing w:after="0"/>
              <w:rPr>
                <w:sz w:val="24"/>
                <w:szCs w:val="24"/>
                <w:color w:val="auto"/>
              </w:rPr>
            </w:pPr>
          </w:p>
        </w:tc>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16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2,880</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2,534</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16"/>
        </w:trPr>
        <w:tc>
          <w:tcPr>
            <w:tcW w:w="660" w:type="dxa"/>
            <w:vAlign w:val="bottom"/>
          </w:tcPr>
          <w:p>
            <w:pPr>
              <w:spacing w:after="0"/>
              <w:rPr>
                <w:sz w:val="18"/>
                <w:szCs w:val="18"/>
                <w:color w:val="auto"/>
              </w:rPr>
            </w:pPr>
          </w:p>
        </w:tc>
        <w:tc>
          <w:tcPr>
            <w:tcW w:w="6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1,675</w:t>
            </w: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2,583</w:t>
            </w:r>
          </w:p>
        </w:tc>
        <w:tc>
          <w:tcPr>
            <w:tcW w:w="100" w:type="dxa"/>
            <w:vAlign w:val="bottom"/>
            <w:shd w:val="clear" w:color="auto" w:fill="CFF0FC"/>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Deferred financing costs, net</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compensation, net</w:t>
            </w: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FF0FC"/>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Non-current deposits</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 net of impairment</w:t>
            </w: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27,210</w:t>
            </w: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27,210</w:t>
            </w:r>
          </w:p>
        </w:tc>
        <w:tc>
          <w:tcPr>
            <w:tcW w:w="100" w:type="dxa"/>
            <w:vAlign w:val="bottom"/>
            <w:shd w:val="clear" w:color="auto" w:fill="CFF0FC"/>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 of amortization</w:t>
            </w: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5,945</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7,755</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50"/>
        </w:trPr>
        <w:tc>
          <w:tcPr>
            <w:tcW w:w="660" w:type="dxa"/>
            <w:vAlign w:val="bottom"/>
          </w:tcPr>
          <w:p>
            <w:pPr>
              <w:spacing w:after="0"/>
              <w:rPr>
                <w:sz w:val="21"/>
                <w:szCs w:val="21"/>
                <w:color w:val="auto"/>
              </w:rPr>
            </w:pPr>
          </w:p>
        </w:tc>
        <w:tc>
          <w:tcPr>
            <w:tcW w:w="6100" w:type="dxa"/>
            <w:vAlign w:val="bottom"/>
            <w:tcBorders>
              <w:bottom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110,650</w:t>
            </w:r>
          </w:p>
        </w:tc>
        <w:tc>
          <w:tcPr>
            <w:tcW w:w="8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111,840</w:t>
            </w:r>
          </w:p>
        </w:tc>
        <w:tc>
          <w:tcPr>
            <w:tcW w:w="100" w:type="dxa"/>
            <w:vAlign w:val="bottom"/>
            <w:tcBorders>
              <w:bottom w:val="single" w:sz="8" w:color="CFF0FC"/>
            </w:tcBorders>
            <w:shd w:val="clear" w:color="auto" w:fill="CFF0FC"/>
          </w:tcPr>
          <w:p>
            <w:pPr>
              <w:spacing w:after="0"/>
              <w:rPr>
                <w:sz w:val="21"/>
                <w:szCs w:val="21"/>
                <w:color w:val="auto"/>
              </w:rPr>
            </w:pPr>
          </w:p>
        </w:tc>
        <w:tc>
          <w:tcPr>
            <w:tcW w:w="660" w:type="dxa"/>
            <w:vAlign w:val="bottom"/>
          </w:tcPr>
          <w:p>
            <w:pPr>
              <w:spacing w:after="0"/>
              <w:rPr>
                <w:sz w:val="21"/>
                <w:szCs w:val="21"/>
                <w:color w:val="auto"/>
              </w:rPr>
            </w:pPr>
          </w:p>
        </w:tc>
      </w:tr>
      <w:tr>
        <w:trPr>
          <w:trHeight w:val="197"/>
        </w:trPr>
        <w:tc>
          <w:tcPr>
            <w:tcW w:w="660" w:type="dxa"/>
            <w:vAlign w:val="bottom"/>
          </w:tcPr>
          <w:p>
            <w:pPr>
              <w:spacing w:after="0"/>
              <w:rPr>
                <w:sz w:val="17"/>
                <w:szCs w:val="17"/>
                <w:color w:val="auto"/>
              </w:rPr>
            </w:pPr>
          </w:p>
        </w:tc>
        <w:tc>
          <w:tcPr>
            <w:tcW w:w="6100" w:type="dxa"/>
            <w:vAlign w:val="bottom"/>
          </w:tcPr>
          <w:p>
            <w:pPr>
              <w:ind w:left="10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16"/>
        </w:trPr>
        <w:tc>
          <w:tcPr>
            <w:tcW w:w="660" w:type="dxa"/>
            <w:vAlign w:val="bottom"/>
          </w:tcPr>
          <w:p>
            <w:pPr>
              <w:spacing w:after="0"/>
              <w:rPr>
                <w:sz w:val="18"/>
                <w:szCs w:val="18"/>
                <w:color w:val="auto"/>
              </w:rPr>
            </w:pPr>
          </w:p>
        </w:tc>
        <w:tc>
          <w:tcPr>
            <w:tcW w:w="6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3,451</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1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Current portion of operating lease liability</w:t>
            </w: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1,151</w:t>
            </w: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1,283</w:t>
            </w:r>
          </w:p>
        </w:tc>
        <w:tc>
          <w:tcPr>
            <w:tcW w:w="100" w:type="dxa"/>
            <w:vAlign w:val="bottom"/>
            <w:shd w:val="clear" w:color="auto" w:fill="CFF0FC"/>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Accrued payroll and related costs</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11,459</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15,391</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10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16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8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100" w:type="dxa"/>
            <w:vAlign w:val="bottom"/>
            <w:tcBorders>
              <w:bottom w:val="single" w:sz="8" w:color="CFF0FC"/>
            </w:tcBorders>
            <w:shd w:val="clear" w:color="auto" w:fill="CFF0FC"/>
          </w:tcPr>
          <w:p>
            <w:pPr>
              <w:spacing w:after="0"/>
              <w:rPr>
                <w:sz w:val="18"/>
                <w:szCs w:val="18"/>
                <w:color w:val="auto"/>
              </w:rPr>
            </w:pPr>
          </w:p>
        </w:tc>
        <w:tc>
          <w:tcPr>
            <w:tcW w:w="660" w:type="dxa"/>
            <w:vAlign w:val="bottom"/>
          </w:tcPr>
          <w:p>
            <w:pPr>
              <w:spacing w:after="0"/>
              <w:rPr>
                <w:sz w:val="18"/>
                <w:szCs w:val="18"/>
                <w:color w:val="auto"/>
              </w:rPr>
            </w:pPr>
          </w:p>
        </w:tc>
      </w:tr>
      <w:tr>
        <w:trPr>
          <w:trHeight w:val="210"/>
        </w:trPr>
        <w:tc>
          <w:tcPr>
            <w:tcW w:w="660" w:type="dxa"/>
            <w:vAlign w:val="bottom"/>
          </w:tcPr>
          <w:p>
            <w:pPr>
              <w:spacing w:after="0"/>
              <w:rPr>
                <w:sz w:val="18"/>
                <w:szCs w:val="18"/>
                <w:color w:val="auto"/>
              </w:rPr>
            </w:pPr>
          </w:p>
        </w:tc>
        <w:tc>
          <w:tcPr>
            <w:tcW w:w="61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16,526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21,064</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liabilities:</w:t>
            </w: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operating lease liability, less current portion</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100" w:type="dxa"/>
            <w:vAlign w:val="bottom"/>
            <w:tcBorders>
              <w:bottom w:val="single" w:sz="8" w:color="CFF0FC"/>
            </w:tcBorders>
            <w:shd w:val="clear" w:color="auto" w:fill="CFF0FC"/>
          </w:tcPr>
          <w:p>
            <w:pPr>
              <w:jc w:val="right"/>
              <w:ind w:right="3690"/>
              <w:spacing w:after="0"/>
              <w:rPr>
                <w:sz w:val="20"/>
                <w:szCs w:val="20"/>
                <w:color w:val="auto"/>
              </w:rPr>
            </w:pPr>
            <w:r>
              <w:rPr>
                <w:rFonts w:ascii="Times New Roman" w:cs="Times New Roman" w:eastAsia="Times New Roman" w:hAnsi="Times New Roman"/>
                <w:sz w:val="18"/>
                <w:szCs w:val="18"/>
                <w:color w:val="auto"/>
              </w:rPr>
              <w:t>Long-term severance liability</w:t>
            </w:r>
          </w:p>
        </w:tc>
        <w:tc>
          <w:tcPr>
            <w:tcW w:w="16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00" w:type="dxa"/>
            <w:vAlign w:val="bottom"/>
            <w:tcBorders>
              <w:bottom w:val="single" w:sz="8" w:color="CFF0FC"/>
            </w:tcBorders>
            <w:shd w:val="clear" w:color="auto" w:fill="CFF0FC"/>
          </w:tcPr>
          <w:p>
            <w:pPr>
              <w:spacing w:after="0"/>
              <w:rPr>
                <w:sz w:val="18"/>
                <w:szCs w:val="18"/>
                <w:color w:val="auto"/>
              </w:rPr>
            </w:pPr>
          </w:p>
        </w:tc>
        <w:tc>
          <w:tcPr>
            <w:tcW w:w="660" w:type="dxa"/>
            <w:vAlign w:val="bottom"/>
          </w:tcPr>
          <w:p>
            <w:pPr>
              <w:spacing w:after="0"/>
              <w:rPr>
                <w:sz w:val="18"/>
                <w:szCs w:val="18"/>
                <w:color w:val="auto"/>
              </w:rPr>
            </w:pPr>
          </w:p>
        </w:tc>
      </w:tr>
      <w:tr>
        <w:trPr>
          <w:trHeight w:val="210"/>
        </w:trPr>
        <w:tc>
          <w:tcPr>
            <w:tcW w:w="660" w:type="dxa"/>
            <w:vAlign w:val="bottom"/>
          </w:tcPr>
          <w:p>
            <w:pPr>
              <w:spacing w:after="0"/>
              <w:rPr>
                <w:sz w:val="18"/>
                <w:szCs w:val="18"/>
                <w:color w:val="auto"/>
              </w:rPr>
            </w:pPr>
          </w:p>
        </w:tc>
        <w:tc>
          <w:tcPr>
            <w:tcW w:w="61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18,127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22,532</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Common stock, par value $0.01 per share</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1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46,381</w:t>
            </w: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42,515</w:t>
            </w:r>
          </w:p>
        </w:tc>
        <w:tc>
          <w:tcPr>
            <w:tcW w:w="100" w:type="dxa"/>
            <w:vAlign w:val="bottom"/>
            <w:shd w:val="clear" w:color="auto" w:fill="CFF0FC"/>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Retained earnings</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56,598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56,427</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1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16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(3,465)</w:t>
            </w:r>
          </w:p>
        </w:tc>
        <w:tc>
          <w:tcPr>
            <w:tcW w:w="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(2,640)</w:t>
            </w:r>
          </w:p>
        </w:tc>
        <w:tc>
          <w:tcPr>
            <w:tcW w:w="6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Treasury stock, at cost</w:t>
            </w:r>
          </w:p>
        </w:tc>
        <w:tc>
          <w:tcPr>
            <w:tcW w:w="16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(7,131)</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(7,131)</w:t>
            </w:r>
          </w:p>
        </w:tc>
        <w:tc>
          <w:tcPr>
            <w:tcW w:w="660" w:type="dxa"/>
            <w:vAlign w:val="bottom"/>
          </w:tcPr>
          <w:p>
            <w:pPr>
              <w:spacing w:after="0"/>
              <w:rPr>
                <w:sz w:val="18"/>
                <w:szCs w:val="18"/>
                <w:color w:val="auto"/>
              </w:rPr>
            </w:pPr>
          </w:p>
        </w:tc>
      </w:tr>
      <w:tr>
        <w:trPr>
          <w:trHeight w:val="210"/>
        </w:trPr>
        <w:tc>
          <w:tcPr>
            <w:tcW w:w="660" w:type="dxa"/>
            <w:vAlign w:val="bottom"/>
          </w:tcPr>
          <w:p>
            <w:pPr>
              <w:spacing w:after="0"/>
              <w:rPr>
                <w:sz w:val="18"/>
                <w:szCs w:val="18"/>
                <w:color w:val="auto"/>
              </w:rPr>
            </w:pPr>
          </w:p>
        </w:tc>
        <w:tc>
          <w:tcPr>
            <w:tcW w:w="6100" w:type="dxa"/>
            <w:vAlign w:val="bottom"/>
            <w:tcBorders>
              <w:bottom w:val="single" w:sz="8" w:color="CFF0FC"/>
            </w:tcBorders>
            <w:shd w:val="clear" w:color="auto" w:fill="CFF0FC"/>
          </w:tcPr>
          <w:p>
            <w:pPr>
              <w:jc w:val="right"/>
              <w:ind w:right="369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92,523</w:t>
            </w:r>
          </w:p>
        </w:tc>
        <w:tc>
          <w:tcPr>
            <w:tcW w:w="8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89,308</w:t>
            </w:r>
          </w:p>
        </w:tc>
        <w:tc>
          <w:tcPr>
            <w:tcW w:w="100" w:type="dxa"/>
            <w:vAlign w:val="bottom"/>
            <w:tcBorders>
              <w:bottom w:val="single" w:sz="8" w:color="CFF0FC"/>
            </w:tcBorders>
            <w:shd w:val="clear" w:color="auto" w:fill="CFF0FC"/>
          </w:tcPr>
          <w:p>
            <w:pPr>
              <w:spacing w:after="0"/>
              <w:rPr>
                <w:sz w:val="18"/>
                <w:szCs w:val="18"/>
                <w:color w:val="auto"/>
              </w:rPr>
            </w:pPr>
          </w:p>
        </w:tc>
        <w:tc>
          <w:tcPr>
            <w:tcW w:w="660" w:type="dxa"/>
            <w:vAlign w:val="bottom"/>
          </w:tcPr>
          <w:p>
            <w:pPr>
              <w:spacing w:after="0"/>
              <w:rPr>
                <w:sz w:val="18"/>
                <w:szCs w:val="18"/>
                <w:color w:val="auto"/>
              </w:rPr>
            </w:pPr>
          </w:p>
        </w:tc>
      </w:tr>
      <w:tr>
        <w:trPr>
          <w:trHeight w:val="210"/>
        </w:trPr>
        <w:tc>
          <w:tcPr>
            <w:tcW w:w="660" w:type="dxa"/>
            <w:vAlign w:val="bottom"/>
          </w:tcPr>
          <w:p>
            <w:pPr>
              <w:spacing w:after="0"/>
              <w:rPr>
                <w:sz w:val="18"/>
                <w:szCs w:val="18"/>
                <w:color w:val="auto"/>
              </w:rPr>
            </w:pPr>
          </w:p>
        </w:tc>
        <w:tc>
          <w:tcPr>
            <w:tcW w:w="610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110,650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111,840</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0"/>
        </w:trPr>
        <w:tc>
          <w:tcPr>
            <w:tcW w:w="66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175"/>
        </w:trPr>
        <w:tc>
          <w:tcPr>
            <w:tcW w:w="660" w:type="dxa"/>
            <w:vAlign w:val="bottom"/>
            <w:tcBorders>
              <w:bottom w:val="single" w:sz="8" w:color="9A9A9A"/>
            </w:tcBorders>
          </w:tcPr>
          <w:p>
            <w:pPr>
              <w:spacing w:after="0"/>
              <w:rPr>
                <w:sz w:val="24"/>
                <w:szCs w:val="24"/>
                <w:color w:val="auto"/>
              </w:rPr>
            </w:pPr>
          </w:p>
        </w:tc>
        <w:tc>
          <w:tcPr>
            <w:tcW w:w="6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5290820</wp:posOffset>
            </wp:positionH>
            <wp:positionV relativeFrom="paragraph">
              <wp:posOffset>-4988560</wp:posOffset>
            </wp:positionV>
            <wp:extent cx="6032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6533515</wp:posOffset>
            </wp:positionH>
            <wp:positionV relativeFrom="paragraph">
              <wp:posOffset>-4988560</wp:posOffset>
            </wp:positionV>
            <wp:extent cx="6032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5290820</wp:posOffset>
            </wp:positionH>
            <wp:positionV relativeFrom="paragraph">
              <wp:posOffset>-3462655</wp:posOffset>
            </wp:positionV>
            <wp:extent cx="6032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5290820</wp:posOffset>
            </wp:positionH>
            <wp:positionV relativeFrom="paragraph">
              <wp:posOffset>-3445510</wp:posOffset>
            </wp:positionV>
            <wp:extent cx="6032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6533515</wp:posOffset>
            </wp:positionH>
            <wp:positionV relativeFrom="paragraph">
              <wp:posOffset>-3462655</wp:posOffset>
            </wp:positionV>
            <wp:extent cx="6032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6533515</wp:posOffset>
            </wp:positionH>
            <wp:positionV relativeFrom="paragraph">
              <wp:posOffset>-3445510</wp:posOffset>
            </wp:positionV>
            <wp:extent cx="6032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5290820</wp:posOffset>
            </wp:positionH>
            <wp:positionV relativeFrom="paragraph">
              <wp:posOffset>-2613660</wp:posOffset>
            </wp:positionV>
            <wp:extent cx="6032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6533515</wp:posOffset>
            </wp:positionH>
            <wp:positionV relativeFrom="paragraph">
              <wp:posOffset>-2613660</wp:posOffset>
            </wp:positionV>
            <wp:extent cx="6032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5290820</wp:posOffset>
            </wp:positionH>
            <wp:positionV relativeFrom="paragraph">
              <wp:posOffset>-2056765</wp:posOffset>
            </wp:positionV>
            <wp:extent cx="6032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6533515</wp:posOffset>
            </wp:positionH>
            <wp:positionV relativeFrom="paragraph">
              <wp:posOffset>-2056765</wp:posOffset>
            </wp:positionV>
            <wp:extent cx="6032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5290820</wp:posOffset>
            </wp:positionH>
            <wp:positionV relativeFrom="paragraph">
              <wp:posOffset>-942340</wp:posOffset>
            </wp:positionV>
            <wp:extent cx="6032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6533515</wp:posOffset>
            </wp:positionH>
            <wp:positionV relativeFrom="paragraph">
              <wp:posOffset>-942340</wp:posOffset>
            </wp:positionV>
            <wp:extent cx="6032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ectPr>
          <w:pgSz w:w="11900" w:h="16838" w:orient="portrait"/>
          <w:cols w:equalWidth="0" w:num="1">
            <w:col w:w="11040"/>
          </w:cols>
          <w:pgMar w:left="420" w:top="1440" w:right="439" w:bottom="1440" w:gutter="0" w:footer="0" w:header="0"/>
        </w:sectPr>
      </w:pPr>
    </w:p>
    <w:bookmarkStart w:id="7" w:name="page8"/>
    <w:bookmarkEnd w:id="7"/>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MASTECH DIGITAL,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(Amounts in thousands, except per share data)</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(Unaudited)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0" w:type="dxa"/>
            <w:vAlign w:val="bottom"/>
            <w:gridSpan w:val="8"/>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00" w:type="dxa"/>
            <w:vAlign w:val="bottom"/>
          </w:tcPr>
          <w:p>
            <w:pPr>
              <w:spacing w:after="0"/>
              <w:rPr>
                <w:sz w:val="18"/>
                <w:szCs w:val="18"/>
                <w:color w:val="auto"/>
              </w:rPr>
            </w:pPr>
          </w:p>
        </w:tc>
        <w:tc>
          <w:tcPr>
            <w:tcW w:w="3240" w:type="dxa"/>
            <w:vAlign w:val="bottom"/>
            <w:gridSpan w:val="8"/>
          </w:tcPr>
          <w:p>
            <w:pPr>
              <w:ind w:left="4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6"/>
        </w:trPr>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09"/>
        </w:trPr>
        <w:tc>
          <w:tcPr>
            <w:tcW w:w="860" w:type="dxa"/>
            <w:vAlign w:val="bottom"/>
          </w:tcPr>
          <w:p>
            <w:pPr>
              <w:spacing w:after="0"/>
              <w:rPr>
                <w:sz w:val="18"/>
                <w:szCs w:val="18"/>
                <w:color w:val="auto"/>
              </w:rPr>
            </w:pPr>
          </w:p>
        </w:tc>
        <w:tc>
          <w:tcPr>
            <w:tcW w:w="36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100" w:type="dxa"/>
            <w:vAlign w:val="bottom"/>
            <w:tcBorders>
              <w:right w:val="single" w:sz="8" w:color="CFF0FC"/>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41,987</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48,496</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right w:val="single" w:sz="8" w:color="CFF0FC"/>
            </w:tcBorders>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124,517</w:t>
            </w:r>
          </w:p>
        </w:tc>
        <w:tc>
          <w:tcPr>
            <w:tcW w:w="260" w:type="dxa"/>
            <w:vAlign w:val="bottom"/>
            <w:shd w:val="clear" w:color="auto" w:fill="CFF0FC"/>
          </w:tcPr>
          <w:p>
            <w:pPr>
              <w:jc w:val="right"/>
              <w:ind w:right="87"/>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145,910</w:t>
            </w:r>
          </w:p>
        </w:tc>
        <w:tc>
          <w:tcPr>
            <w:tcW w:w="100" w:type="dxa"/>
            <w:vAlign w:val="bottom"/>
            <w:shd w:val="clear" w:color="auto" w:fill="CFF0FC"/>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29,938</w:t>
            </w: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35,035</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89,444</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105,737</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09"/>
        </w:trPr>
        <w:tc>
          <w:tcPr>
            <w:tcW w:w="860" w:type="dxa"/>
            <w:vAlign w:val="bottom"/>
          </w:tcPr>
          <w:p>
            <w:pPr>
              <w:spacing w:after="0"/>
              <w:rPr>
                <w:sz w:val="18"/>
                <w:szCs w:val="18"/>
                <w:color w:val="auto"/>
              </w:rPr>
            </w:pPr>
          </w:p>
        </w:tc>
        <w:tc>
          <w:tcPr>
            <w:tcW w:w="36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00" w:type="dxa"/>
            <w:vAlign w:val="bottom"/>
            <w:tcBorders>
              <w:right w:val="single" w:sz="8" w:color="CFF0FC"/>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12,049</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20" w:type="dxa"/>
            <w:vAlign w:val="bottom"/>
            <w:tcBorders>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13,461</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20" w:type="dxa"/>
            <w:vAlign w:val="bottom"/>
            <w:tcBorders>
              <w:right w:val="single" w:sz="8" w:color="CFF0FC"/>
            </w:tcBorders>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35,073</w:t>
            </w: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40,173</w:t>
            </w:r>
          </w:p>
        </w:tc>
        <w:tc>
          <w:tcPr>
            <w:tcW w:w="100" w:type="dxa"/>
            <w:vAlign w:val="bottom"/>
            <w:shd w:val="clear" w:color="auto" w:fill="CFF0FC"/>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12,036</w:t>
            </w: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12,641</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35,334</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41,179</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09"/>
        </w:trPr>
        <w:tc>
          <w:tcPr>
            <w:tcW w:w="860" w:type="dxa"/>
            <w:vAlign w:val="bottom"/>
          </w:tcPr>
          <w:p>
            <w:pPr>
              <w:spacing w:after="0"/>
              <w:rPr>
                <w:sz w:val="18"/>
                <w:szCs w:val="18"/>
                <w:color w:val="auto"/>
              </w:rPr>
            </w:pPr>
          </w:p>
        </w:tc>
        <w:tc>
          <w:tcPr>
            <w:tcW w:w="36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00" w:type="dxa"/>
            <w:vAlign w:val="bottom"/>
            <w:tcBorders>
              <w:right w:val="single" w:sz="8" w:color="CFF0FC"/>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tcBorders>
              <w:right w:val="single" w:sz="8" w:color="CFF0FC"/>
            </w:tcBorders>
            <w:shd w:val="clear" w:color="auto" w:fill="CFF0FC"/>
          </w:tcPr>
          <w:p>
            <w:pPr>
              <w:spacing w:after="0"/>
              <w:rPr>
                <w:sz w:val="18"/>
                <w:szCs w:val="18"/>
                <w:color w:val="auto"/>
              </w:rPr>
            </w:pPr>
          </w:p>
        </w:tc>
        <w:tc>
          <w:tcPr>
            <w:tcW w:w="2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20" w:type="dxa"/>
            <w:vAlign w:val="bottom"/>
            <w:tcBorders>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20" w:type="dxa"/>
            <w:vAlign w:val="bottom"/>
            <w:tcBorders>
              <w:right w:val="single" w:sz="8" w:color="CFF0FC"/>
            </w:tcBorders>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(261)</w:t>
            </w: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100" w:type="dxa"/>
            <w:vAlign w:val="bottom"/>
            <w:shd w:val="clear" w:color="auto" w:fill="CFF0FC"/>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income/(expense), net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88"/>
              </w:rPr>
              <w:t>237</w:t>
            </w: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1,166</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0"/>
        </w:trPr>
        <w:tc>
          <w:tcPr>
            <w:tcW w:w="860" w:type="dxa"/>
            <w:vAlign w:val="bottom"/>
          </w:tcPr>
          <w:p>
            <w:pPr>
              <w:spacing w:after="0"/>
              <w:rPr>
                <w:sz w:val="18"/>
                <w:szCs w:val="18"/>
                <w:color w:val="auto"/>
              </w:rPr>
            </w:pPr>
          </w:p>
        </w:tc>
        <w:tc>
          <w:tcPr>
            <w:tcW w:w="36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00" w:type="dxa"/>
            <w:vAlign w:val="bottom"/>
            <w:tcBorders>
              <w:right w:val="single" w:sz="8" w:color="CFF0FC"/>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tcBorders>
              <w:right w:val="single" w:sz="8" w:color="CFF0FC"/>
            </w:tcBorders>
            <w:shd w:val="clear" w:color="auto" w:fill="CFF0FC"/>
          </w:tcPr>
          <w:p>
            <w:pPr>
              <w:spacing w:after="0"/>
              <w:rPr>
                <w:sz w:val="18"/>
                <w:szCs w:val="18"/>
                <w:color w:val="auto"/>
              </w:rPr>
            </w:pPr>
          </w:p>
        </w:tc>
        <w:tc>
          <w:tcPr>
            <w:tcW w:w="2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250</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20" w:type="dxa"/>
            <w:vAlign w:val="bottom"/>
            <w:tcBorders>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1,235</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20" w:type="dxa"/>
            <w:vAlign w:val="bottom"/>
            <w:tcBorders>
              <w:right w:val="single" w:sz="8" w:color="CFF0FC"/>
            </w:tcBorders>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905</w:t>
            </w: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shd w:val="clear" w:color="auto" w:fill="CFF0FC"/>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88"/>
              </w:rPr>
              <w:t>243</w:t>
            </w: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734</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49"/>
        </w:trPr>
        <w:tc>
          <w:tcPr>
            <w:tcW w:w="860" w:type="dxa"/>
            <w:vAlign w:val="bottom"/>
          </w:tcPr>
          <w:p>
            <w:pPr>
              <w:spacing w:after="0"/>
              <w:rPr>
                <w:sz w:val="21"/>
                <w:szCs w:val="21"/>
                <w:color w:val="auto"/>
              </w:rPr>
            </w:pPr>
          </w:p>
        </w:tc>
        <w:tc>
          <w:tcPr>
            <w:tcW w:w="366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00" w:type="dxa"/>
            <w:vAlign w:val="bottom"/>
            <w:tcBorders>
              <w:bottom w:val="single" w:sz="8" w:color="CFF0FC"/>
              <w:right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right w:val="single" w:sz="8" w:color="CFF0FC"/>
            </w:tcBorders>
            <w:shd w:val="clear" w:color="auto" w:fill="CFF0FC"/>
          </w:tcPr>
          <w:p>
            <w:pPr>
              <w:spacing w:after="0"/>
              <w:rPr>
                <w:sz w:val="21"/>
                <w:szCs w:val="21"/>
                <w:color w:val="auto"/>
              </w:rPr>
            </w:pPr>
          </w:p>
        </w:tc>
        <w:tc>
          <w:tcPr>
            <w:tcW w:w="28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2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right w:val="single" w:sz="8" w:color="CFF0FC"/>
            </w:tcBorders>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171</w:t>
            </w:r>
          </w:p>
        </w:tc>
        <w:tc>
          <w:tcPr>
            <w:tcW w:w="260" w:type="dxa"/>
            <w:vAlign w:val="bottom"/>
            <w:tcBorders>
              <w:bottom w:val="single" w:sz="8" w:color="auto"/>
            </w:tcBorders>
            <w:shd w:val="clear" w:color="auto" w:fill="CFF0FC"/>
          </w:tcPr>
          <w:p>
            <w:pPr>
              <w:jc w:val="right"/>
              <w:ind w:right="87"/>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00" w:type="dxa"/>
            <w:vAlign w:val="bottom"/>
            <w:tcBorders>
              <w:bottom w:val="single" w:sz="8" w:color="CFF0FC"/>
            </w:tcBorders>
            <w:shd w:val="clear" w:color="auto" w:fill="CFF0FC"/>
          </w:tcPr>
          <w:p>
            <w:pPr>
              <w:spacing w:after="0"/>
              <w:rPr>
                <w:sz w:val="21"/>
                <w:szCs w:val="21"/>
                <w:color w:val="auto"/>
              </w:rPr>
            </w:pPr>
          </w:p>
        </w:tc>
        <w:tc>
          <w:tcPr>
            <w:tcW w:w="660" w:type="dxa"/>
            <w:vAlign w:val="bottom"/>
          </w:tcPr>
          <w:p>
            <w:pPr>
              <w:spacing w:after="0"/>
              <w:rPr>
                <w:sz w:val="21"/>
                <w:szCs w:val="21"/>
                <w:color w:val="auto"/>
              </w:rPr>
            </w:pPr>
          </w:p>
        </w:tc>
      </w:tr>
      <w:tr>
        <w:trPr>
          <w:trHeight w:val="197"/>
        </w:trPr>
        <w:tc>
          <w:tcPr>
            <w:tcW w:w="860" w:type="dxa"/>
            <w:vAlign w:val="bottom"/>
          </w:tcPr>
          <w:p>
            <w:pPr>
              <w:spacing w:after="0"/>
              <w:rPr>
                <w:sz w:val="17"/>
                <w:szCs w:val="17"/>
                <w:color w:val="auto"/>
              </w:rPr>
            </w:pPr>
          </w:p>
        </w:tc>
        <w:tc>
          <w:tcPr>
            <w:tcW w:w="36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Earnings (loss) per share:</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16"/>
        </w:trPr>
        <w:tc>
          <w:tcPr>
            <w:tcW w:w="860" w:type="dxa"/>
            <w:vAlign w:val="bottom"/>
          </w:tcPr>
          <w:p>
            <w:pPr>
              <w:spacing w:after="0"/>
              <w:rPr>
                <w:sz w:val="18"/>
                <w:szCs w:val="18"/>
                <w:color w:val="auto"/>
              </w:rPr>
            </w:pPr>
          </w:p>
        </w:tc>
        <w:tc>
          <w:tcPr>
            <w:tcW w:w="36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Basic</w:t>
            </w:r>
          </w:p>
        </w:tc>
        <w:tc>
          <w:tcPr>
            <w:tcW w:w="4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0.00</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0.08</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20" w:type="dxa"/>
            <w:vAlign w:val="bottom"/>
            <w:tcBorders>
              <w:right w:val="single" w:sz="8" w:color="CFF0FC"/>
            </w:tcBorders>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0.01</w:t>
            </w:r>
          </w:p>
        </w:tc>
        <w:tc>
          <w:tcPr>
            <w:tcW w:w="260" w:type="dxa"/>
            <w:vAlign w:val="bottom"/>
            <w:shd w:val="clear" w:color="auto" w:fill="CFF0FC"/>
          </w:tcPr>
          <w:p>
            <w:pPr>
              <w:jc w:val="right"/>
              <w:ind w:right="87"/>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(0.03)</w:t>
            </w:r>
          </w:p>
        </w:tc>
        <w:tc>
          <w:tcPr>
            <w:tcW w:w="66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Diluted</w:t>
            </w: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0.00</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0.08</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0.01</w:t>
            </w:r>
          </w:p>
        </w:tc>
        <w:tc>
          <w:tcPr>
            <w:tcW w:w="260" w:type="dxa"/>
            <w:vAlign w:val="bottom"/>
          </w:tcPr>
          <w:p>
            <w:pPr>
              <w:jc w:val="right"/>
              <w:ind w:right="87"/>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(0.03)</w:t>
            </w:r>
          </w:p>
        </w:tc>
        <w:tc>
          <w:tcPr>
            <w:tcW w:w="66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36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w w:val="99"/>
              </w:rPr>
              <w:t>Weighted average common shares outstanding:</w:t>
            </w:r>
          </w:p>
        </w:tc>
        <w:tc>
          <w:tcPr>
            <w:tcW w:w="100" w:type="dxa"/>
            <w:vAlign w:val="bottom"/>
            <w:tcBorders>
              <w:right w:val="single" w:sz="8" w:color="CFF0FC"/>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12,029</w:t>
            </w: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11,762</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11,956</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11,761</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09"/>
        </w:trPr>
        <w:tc>
          <w:tcPr>
            <w:tcW w:w="860" w:type="dxa"/>
            <w:vAlign w:val="bottom"/>
          </w:tcPr>
          <w:p>
            <w:pPr>
              <w:spacing w:after="0"/>
              <w:rPr>
                <w:sz w:val="18"/>
                <w:szCs w:val="18"/>
                <w:color w:val="auto"/>
              </w:rPr>
            </w:pPr>
          </w:p>
        </w:tc>
        <w:tc>
          <w:tcPr>
            <w:tcW w:w="366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tcBorders>
              <w:bottom w:val="single" w:sz="8" w:color="CFF0FC"/>
              <w:right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12,166</w:t>
            </w:r>
          </w:p>
        </w:tc>
        <w:tc>
          <w:tcPr>
            <w:tcW w:w="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11,945</w:t>
            </w:r>
          </w:p>
        </w:tc>
        <w:tc>
          <w:tcPr>
            <w:tcW w:w="2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right w:val="single" w:sz="8" w:color="CFF0FC"/>
            </w:tcBorders>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12,063</w:t>
            </w:r>
          </w:p>
        </w:tc>
        <w:tc>
          <w:tcPr>
            <w:tcW w:w="2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11,761</w:t>
            </w:r>
          </w:p>
        </w:tc>
        <w:tc>
          <w:tcPr>
            <w:tcW w:w="100" w:type="dxa"/>
            <w:vAlign w:val="bottom"/>
            <w:tcBorders>
              <w:bottom w:val="single" w:sz="8" w:color="CFF0FC"/>
            </w:tcBorders>
            <w:shd w:val="clear" w:color="auto" w:fill="CFF0FC"/>
          </w:tcPr>
          <w:p>
            <w:pPr>
              <w:spacing w:after="0"/>
              <w:rPr>
                <w:sz w:val="18"/>
                <w:szCs w:val="18"/>
                <w:color w:val="auto"/>
              </w:rPr>
            </w:pPr>
          </w:p>
        </w:tc>
        <w:tc>
          <w:tcPr>
            <w:tcW w:w="660" w:type="dxa"/>
            <w:vAlign w:val="bottom"/>
          </w:tcPr>
          <w:p>
            <w:pPr>
              <w:spacing w:after="0"/>
              <w:rPr>
                <w:sz w:val="18"/>
                <w:szCs w:val="18"/>
                <w:color w:val="auto"/>
              </w:rPr>
            </w:pPr>
          </w:p>
        </w:tc>
      </w:tr>
      <w:tr>
        <w:trPr>
          <w:trHeight w:val="619"/>
        </w:trPr>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3080" w:type="dxa"/>
            <w:vAlign w:val="bottom"/>
            <w:gridSpan w:val="11"/>
          </w:tcPr>
          <w:p>
            <w:pPr>
              <w:jc w:val="center"/>
              <w:ind w:right="840"/>
              <w:spacing w:after="0"/>
              <w:rPr>
                <w:sz w:val="20"/>
                <w:szCs w:val="20"/>
                <w:color w:val="auto"/>
              </w:rPr>
            </w:pPr>
            <w:r>
              <w:rPr>
                <w:rFonts w:ascii="Times New Roman" w:cs="Times New Roman" w:eastAsia="Times New Roman" w:hAnsi="Times New Roman"/>
                <w:sz w:val="18"/>
                <w:szCs w:val="18"/>
                <w:b w:val="1"/>
                <w:bCs w:val="1"/>
                <w:color w:val="auto"/>
                <w:w w:val="99"/>
              </w:rPr>
              <w:t>MASTECH DIGITAL, INC.</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20"/>
        </w:trPr>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100" w:type="dxa"/>
            <w:vAlign w:val="bottom"/>
            <w:gridSpan w:val="17"/>
          </w:tcPr>
          <w:p>
            <w:pPr>
              <w:jc w:val="center"/>
              <w:ind w:left="1110"/>
              <w:spacing w:after="0"/>
              <w:rPr>
                <w:sz w:val="20"/>
                <w:szCs w:val="20"/>
                <w:color w:val="auto"/>
              </w:rPr>
            </w:pPr>
            <w:r>
              <w:rPr>
                <w:rFonts w:ascii="Times New Roman" w:cs="Times New Roman" w:eastAsia="Times New Roman" w:hAnsi="Times New Roman"/>
                <w:sz w:val="18"/>
                <w:szCs w:val="18"/>
                <w:b w:val="1"/>
                <w:bCs w:val="1"/>
                <w:color w:val="auto"/>
              </w:rPr>
              <w:t>RECONCILIATION OF GAAP MEASURES TO NON-GAAP MEASURES</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16"/>
        </w:trPr>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20" w:type="dxa"/>
            <w:vAlign w:val="bottom"/>
            <w:gridSpan w:val="12"/>
          </w:tcPr>
          <w:p>
            <w:pPr>
              <w:jc w:val="center"/>
              <w:ind w:left="2590"/>
              <w:spacing w:after="0"/>
              <w:rPr>
                <w:sz w:val="20"/>
                <w:szCs w:val="20"/>
                <w:color w:val="auto"/>
              </w:rPr>
            </w:pPr>
            <w:r>
              <w:rPr>
                <w:rFonts w:ascii="Times New Roman" w:cs="Times New Roman" w:eastAsia="Times New Roman" w:hAnsi="Times New Roman"/>
                <w:sz w:val="18"/>
                <w:szCs w:val="18"/>
                <w:color w:val="auto"/>
              </w:rPr>
              <w:t>(Amounts in thousands, except per share data)</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34"/>
        </w:trPr>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5"/>
          </w:tcPr>
          <w:p>
            <w:pPr>
              <w:jc w:val="center"/>
              <w:ind w:right="40"/>
              <w:spacing w:after="0"/>
              <w:rPr>
                <w:sz w:val="20"/>
                <w:szCs w:val="20"/>
                <w:color w:val="auto"/>
              </w:rPr>
            </w:pPr>
            <w:r>
              <w:rPr>
                <w:rFonts w:ascii="Times New Roman" w:cs="Times New Roman" w:eastAsia="Times New Roman" w:hAnsi="Times New Roman"/>
                <w:sz w:val="18"/>
                <w:szCs w:val="18"/>
                <w:color w:val="auto"/>
                <w:w w:val="98"/>
              </w:rPr>
              <w:t>(Unaudited)</w:t>
            </w: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432"/>
        </w:trPr>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80" w:type="dxa"/>
            <w:vAlign w:val="bottom"/>
            <w:gridSpan w:val="10"/>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9"/>
              </w:rPr>
              <w:t>Three Months ended September 30,</w:t>
            </w:r>
          </w:p>
        </w:tc>
        <w:tc>
          <w:tcPr>
            <w:tcW w:w="344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10"/>
        </w:trPr>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0"/>
        </w:trPr>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GAAP Net Income (Loss)</w:t>
            </w:r>
          </w:p>
        </w:tc>
        <w:tc>
          <w:tcPr>
            <w:tcW w:w="100" w:type="dxa"/>
            <w:vAlign w:val="bottom"/>
            <w:tcBorders>
              <w:right w:val="single" w:sz="8" w:color="CFF0FC"/>
            </w:tcBorders>
            <w:shd w:val="clear" w:color="auto" w:fill="CFF0FC"/>
          </w:tcPr>
          <w:p>
            <w:pPr>
              <w:spacing w:after="0"/>
              <w:rPr>
                <w:sz w:val="18"/>
                <w:szCs w:val="18"/>
                <w:color w:val="auto"/>
              </w:rPr>
            </w:pPr>
          </w:p>
        </w:tc>
        <w:tc>
          <w:tcPr>
            <w:tcW w:w="260" w:type="dxa"/>
            <w:vAlign w:val="bottom"/>
            <w:shd w:val="clear" w:color="auto" w:fill="CFF0FC"/>
          </w:tcPr>
          <w:p>
            <w:pPr>
              <w:jc w:val="right"/>
              <w:ind w:right="13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0" w:type="dxa"/>
            <w:vAlign w:val="bottom"/>
            <w:shd w:val="clear" w:color="auto" w:fill="CFF0FC"/>
          </w:tcPr>
          <w:p>
            <w:pPr>
              <w:spacing w:after="0"/>
              <w:rPr>
                <w:sz w:val="18"/>
                <w:szCs w:val="18"/>
                <w:color w:val="auto"/>
              </w:rPr>
            </w:pPr>
          </w:p>
        </w:tc>
        <w:tc>
          <w:tcPr>
            <w:tcW w:w="9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941</w:t>
            </w:r>
          </w:p>
        </w:tc>
        <w:tc>
          <w:tcPr>
            <w:tcW w:w="22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171</w:t>
            </w:r>
          </w:p>
        </w:tc>
        <w:tc>
          <w:tcPr>
            <w:tcW w:w="100" w:type="dxa"/>
            <w:vAlign w:val="bottom"/>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260" w:type="dxa"/>
            <w:vAlign w:val="bottom"/>
            <w:shd w:val="clear" w:color="auto" w:fill="CFF0FC"/>
          </w:tcPr>
          <w:p>
            <w:pPr>
              <w:jc w:val="right"/>
              <w:ind w:right="12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(363)</w:t>
            </w:r>
          </w:p>
        </w:tc>
        <w:tc>
          <w:tcPr>
            <w:tcW w:w="100" w:type="dxa"/>
            <w:vAlign w:val="bottom"/>
            <w:shd w:val="clear" w:color="auto" w:fill="CFF0FC"/>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100" w:type="dxa"/>
            <w:vAlign w:val="bottom"/>
            <w:tcBorders>
              <w:right w:val="single" w:sz="8" w:color="CFF0FC"/>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22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1,811</w:t>
            </w:r>
          </w:p>
        </w:tc>
        <w:tc>
          <w:tcPr>
            <w:tcW w:w="100" w:type="dxa"/>
            <w:vAlign w:val="bottom"/>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1,949</w:t>
            </w:r>
          </w:p>
        </w:tc>
        <w:tc>
          <w:tcPr>
            <w:tcW w:w="100" w:type="dxa"/>
            <w:vAlign w:val="bottom"/>
            <w:shd w:val="clear" w:color="auto" w:fill="CFF0FC"/>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2,338</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Severance expense</w:t>
            </w:r>
          </w:p>
        </w:tc>
        <w:tc>
          <w:tcPr>
            <w:tcW w:w="100" w:type="dxa"/>
            <w:vAlign w:val="bottom"/>
            <w:tcBorders>
              <w:right w:val="single" w:sz="8" w:color="CFF0FC"/>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1,084</w:t>
            </w:r>
          </w:p>
        </w:tc>
        <w:tc>
          <w:tcPr>
            <w:tcW w:w="22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2,725</w:t>
            </w:r>
          </w:p>
        </w:tc>
        <w:tc>
          <w:tcPr>
            <w:tcW w:w="100" w:type="dxa"/>
            <w:vAlign w:val="bottom"/>
            <w:shd w:val="clear" w:color="auto" w:fill="CFF0FC"/>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Finance and accounting transition expense</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1,625</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Income tax adjustments</w:t>
            </w:r>
          </w:p>
        </w:tc>
        <w:tc>
          <w:tcPr>
            <w:tcW w:w="100" w:type="dxa"/>
            <w:vAlign w:val="bottom"/>
            <w:tcBorders>
              <w:right w:val="single" w:sz="8" w:color="CFF0FC"/>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2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(874)</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(1,113)</w:t>
            </w:r>
          </w:p>
        </w:tc>
        <w:tc>
          <w:tcPr>
            <w:tcW w:w="140" w:type="dxa"/>
            <w:vAlign w:val="bottom"/>
            <w:tcBorders>
              <w:right w:val="single" w:sz="8" w:color="CFF0FC"/>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(2,221)</w:t>
            </w:r>
          </w:p>
        </w:tc>
        <w:tc>
          <w:tcPr>
            <w:tcW w:w="660" w:type="dxa"/>
            <w:vAlign w:val="bottom"/>
          </w:tcPr>
          <w:p>
            <w:pPr>
              <w:spacing w:after="0"/>
              <w:rPr>
                <w:sz w:val="18"/>
                <w:szCs w:val="18"/>
                <w:color w:val="auto"/>
              </w:rPr>
            </w:pPr>
          </w:p>
        </w:tc>
      </w:tr>
      <w:tr>
        <w:trPr>
          <w:trHeight w:val="20"/>
        </w:trPr>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540" w:type="dxa"/>
            <w:vAlign w:val="bottom"/>
            <w:shd w:val="clear" w:color="auto" w:fill="CFF0FC"/>
          </w:tcPr>
          <w:p>
            <w:pPr>
              <w:spacing w:after="0" w:line="20" w:lineRule="exact"/>
              <w:rPr>
                <w:sz w:val="1"/>
                <w:szCs w:val="1"/>
                <w:color w:val="auto"/>
              </w:rPr>
            </w:pPr>
          </w:p>
        </w:tc>
        <w:tc>
          <w:tcPr>
            <w:tcW w:w="100" w:type="dxa"/>
            <w:vAlign w:val="bottom"/>
            <w:tcBorders>
              <w:right w:val="single" w:sz="8" w:color="CFF0FC"/>
            </w:tcBorders>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tcBorders>
              <w:right w:val="single" w:sz="8" w:color="auto"/>
            </w:tcBorders>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10"/>
        </w:trPr>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Non-GAAP Net Income</w:t>
            </w:r>
          </w:p>
        </w:tc>
        <w:tc>
          <w:tcPr>
            <w:tcW w:w="360" w:type="dxa"/>
            <w:vAlign w:val="bottom"/>
            <w:gridSpan w:val="2"/>
          </w:tcPr>
          <w:p>
            <w:pPr>
              <w:jc w:val="right"/>
              <w:ind w:right="133"/>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1,222</w:t>
            </w:r>
          </w:p>
        </w:tc>
        <w:tc>
          <w:tcPr>
            <w:tcW w:w="36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3,467</w:t>
            </w:r>
          </w:p>
        </w:tc>
        <w:tc>
          <w:tcPr>
            <w:tcW w:w="220" w:type="dxa"/>
            <w:vAlign w:val="bottom"/>
          </w:tcPr>
          <w:p>
            <w:pPr>
              <w:spacing w:after="0"/>
              <w:rPr>
                <w:sz w:val="18"/>
                <w:szCs w:val="18"/>
                <w:color w:val="auto"/>
              </w:rPr>
            </w:pPr>
          </w:p>
        </w:tc>
        <w:tc>
          <w:tcPr>
            <w:tcW w:w="200" w:type="dxa"/>
            <w:vAlign w:val="bottom"/>
          </w:tcPr>
          <w:p>
            <w:pPr>
              <w:jc w:val="right"/>
              <w:ind w:right="7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3,448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jc w:val="right"/>
              <w:ind w:right="12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6,053</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0"/>
        </w:trPr>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36"/>
        </w:trPr>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4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GAAP Diluted Earnings (Loss) Per Share</w:t>
            </w:r>
          </w:p>
        </w:tc>
        <w:tc>
          <w:tcPr>
            <w:tcW w:w="100" w:type="dxa"/>
            <w:vAlign w:val="bottom"/>
            <w:tcBorders>
              <w:bottom w:val="single" w:sz="8" w:color="CFF0FC"/>
              <w:right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jc w:val="right"/>
              <w:ind w:right="13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right w:val="single" w:sz="8" w:color="CFF0FC"/>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0.00</w:t>
            </w:r>
          </w:p>
        </w:tc>
        <w:tc>
          <w:tcPr>
            <w:tcW w:w="10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gridSpan w:val="3"/>
            <w:shd w:val="clear" w:color="auto" w:fill="CFF0FC"/>
          </w:tcPr>
          <w:p>
            <w:pPr>
              <w:jc w:val="right"/>
              <w:ind w:right="60"/>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0.08</w:t>
            </w:r>
          </w:p>
        </w:tc>
        <w:tc>
          <w:tcPr>
            <w:tcW w:w="220" w:type="dxa"/>
            <w:vAlign w:val="bottom"/>
            <w:tcBorders>
              <w:bottom w:val="single" w:sz="8" w:color="CFF0FC"/>
              <w:right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ind w:right="7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6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0.01</w:t>
            </w:r>
          </w:p>
        </w:tc>
        <w:tc>
          <w:tcPr>
            <w:tcW w:w="1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right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jc w:val="right"/>
              <w:ind w:right="12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(0.03)</w:t>
            </w:r>
          </w:p>
        </w:tc>
        <w:tc>
          <w:tcPr>
            <w:tcW w:w="100" w:type="dxa"/>
            <w:vAlign w:val="bottom"/>
            <w:tcBorders>
              <w:bottom w:val="single" w:sz="8" w:color="CFF0FC"/>
            </w:tcBorders>
            <w:shd w:val="clear" w:color="auto" w:fill="CFF0FC"/>
          </w:tcPr>
          <w:p>
            <w:pPr>
              <w:spacing w:after="0"/>
              <w:rPr>
                <w:sz w:val="20"/>
                <w:szCs w:val="20"/>
                <w:color w:val="auto"/>
              </w:rPr>
            </w:pPr>
          </w:p>
        </w:tc>
        <w:tc>
          <w:tcPr>
            <w:tcW w:w="660" w:type="dxa"/>
            <w:vAlign w:val="bottom"/>
          </w:tcPr>
          <w:p>
            <w:pPr>
              <w:spacing w:after="0"/>
              <w:rPr>
                <w:sz w:val="20"/>
                <w:szCs w:val="20"/>
                <w:color w:val="auto"/>
              </w:rPr>
            </w:pPr>
          </w:p>
        </w:tc>
      </w:tr>
      <w:tr>
        <w:trPr>
          <w:trHeight w:val="197"/>
        </w:trPr>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4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Non-GAAP Diluted Earnings Per Share</w:t>
            </w:r>
          </w:p>
        </w:tc>
        <w:tc>
          <w:tcPr>
            <w:tcW w:w="360" w:type="dxa"/>
            <w:vAlign w:val="bottom"/>
            <w:gridSpan w:val="2"/>
          </w:tcPr>
          <w:p>
            <w:pPr>
              <w:jc w:val="right"/>
              <w:ind w:right="133"/>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0.10</w:t>
            </w:r>
          </w:p>
        </w:tc>
        <w:tc>
          <w:tcPr>
            <w:tcW w:w="360" w:type="dxa"/>
            <w:vAlign w:val="bottom"/>
            <w:gridSpan w:val="4"/>
          </w:tcPr>
          <w:p>
            <w:pPr>
              <w:jc w:val="right"/>
              <w:ind w:right="60"/>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0.29</w:t>
            </w:r>
          </w:p>
        </w:tc>
        <w:tc>
          <w:tcPr>
            <w:tcW w:w="220" w:type="dxa"/>
            <w:vAlign w:val="bottom"/>
          </w:tcPr>
          <w:p>
            <w:pPr>
              <w:spacing w:after="0"/>
              <w:rPr>
                <w:sz w:val="17"/>
                <w:szCs w:val="17"/>
                <w:color w:val="auto"/>
              </w:rPr>
            </w:pPr>
          </w:p>
        </w:tc>
        <w:tc>
          <w:tcPr>
            <w:tcW w:w="200" w:type="dxa"/>
            <w:vAlign w:val="bottom"/>
          </w:tcPr>
          <w:p>
            <w:pPr>
              <w:jc w:val="right"/>
              <w:ind w:right="7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60" w:type="dxa"/>
            <w:vAlign w:val="bottom"/>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0.29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jc w:val="right"/>
              <w:ind w:right="12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0.50</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0"/>
        </w:trPr>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74"/>
        </w:trPr>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540" w:type="dxa"/>
            <w:vAlign w:val="bottom"/>
            <w:shd w:val="clear" w:color="auto" w:fill="CFF0FC"/>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Weighted average common shares</w:t>
            </w:r>
          </w:p>
        </w:tc>
        <w:tc>
          <w:tcPr>
            <w:tcW w:w="100" w:type="dxa"/>
            <w:vAlign w:val="bottom"/>
            <w:tcBorders>
              <w:right w:val="single" w:sz="8" w:color="CFF0FC"/>
            </w:tcBorders>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4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20" w:type="dxa"/>
            <w:vAlign w:val="bottom"/>
            <w:tcBorders>
              <w:right w:val="single" w:sz="8" w:color="CFF0FC"/>
            </w:tcBorders>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tcBorders>
              <w:right w:val="single" w:sz="8" w:color="CFF0FC"/>
            </w:tcBorders>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tcPr>
          <w:p>
            <w:pPr>
              <w:spacing w:after="0"/>
              <w:rPr>
                <w:sz w:val="15"/>
                <w:szCs w:val="15"/>
                <w:color w:val="auto"/>
              </w:rPr>
            </w:pPr>
          </w:p>
        </w:tc>
      </w:tr>
      <w:tr>
        <w:trPr>
          <w:trHeight w:val="225"/>
        </w:trPr>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5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100" w:type="dxa"/>
            <w:vAlign w:val="bottom"/>
            <w:tcBorders>
              <w:bottom w:val="single" w:sz="8" w:color="CFF0FC"/>
              <w:right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right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CFF0FC"/>
              <w:right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right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660" w:type="dxa"/>
            <w:vAlign w:val="bottom"/>
          </w:tcPr>
          <w:p>
            <w:pPr>
              <w:spacing w:after="0"/>
              <w:rPr>
                <w:sz w:val="19"/>
                <w:szCs w:val="19"/>
                <w:color w:val="auto"/>
              </w:rPr>
            </w:pPr>
          </w:p>
        </w:tc>
      </w:tr>
      <w:tr>
        <w:trPr>
          <w:trHeight w:val="210"/>
        </w:trPr>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GAAP Diluted Shares</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12,166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11,945</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12,063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11,761</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0"/>
        </w:trPr>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Non-GAAP Diluted Shares</w:t>
            </w:r>
          </w:p>
        </w:tc>
        <w:tc>
          <w:tcPr>
            <w:tcW w:w="100" w:type="dxa"/>
            <w:vAlign w:val="bottom"/>
            <w:tcBorders>
              <w:bottom w:val="single" w:sz="8" w:color="CFF0FC"/>
              <w:right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12,166</w:t>
            </w: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11,945</w:t>
            </w:r>
          </w:p>
        </w:tc>
        <w:tc>
          <w:tcPr>
            <w:tcW w:w="220" w:type="dxa"/>
            <w:vAlign w:val="bottom"/>
            <w:tcBorders>
              <w:bottom w:val="single" w:sz="8" w:color="CFF0FC"/>
              <w:right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12,063</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right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12,032</w:t>
            </w:r>
          </w:p>
        </w:tc>
        <w:tc>
          <w:tcPr>
            <w:tcW w:w="100" w:type="dxa"/>
            <w:vAlign w:val="bottom"/>
            <w:tcBorders>
              <w:bottom w:val="single" w:sz="8" w:color="CFF0FC"/>
            </w:tcBorders>
            <w:shd w:val="clear" w:color="auto" w:fill="CFF0FC"/>
          </w:tcPr>
          <w:p>
            <w:pPr>
              <w:spacing w:after="0"/>
              <w:rPr>
                <w:sz w:val="18"/>
                <w:szCs w:val="18"/>
                <w:color w:val="auto"/>
              </w:rPr>
            </w:pPr>
          </w:p>
        </w:tc>
        <w:tc>
          <w:tcPr>
            <w:tcW w:w="660" w:type="dxa"/>
            <w:vAlign w:val="bottom"/>
          </w:tcPr>
          <w:p>
            <w:pPr>
              <w:spacing w:after="0"/>
              <w:rPr>
                <w:sz w:val="18"/>
                <w:szCs w:val="18"/>
                <w:color w:val="auto"/>
              </w:rPr>
            </w:pPr>
          </w:p>
        </w:tc>
      </w:tr>
      <w:tr>
        <w:trPr>
          <w:trHeight w:val="1404"/>
        </w:trPr>
        <w:tc>
          <w:tcPr>
            <w:tcW w:w="8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5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3944620</wp:posOffset>
            </wp:positionH>
            <wp:positionV relativeFrom="paragraph">
              <wp:posOffset>-5048250</wp:posOffset>
            </wp:positionV>
            <wp:extent cx="6032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3944620</wp:posOffset>
            </wp:positionH>
            <wp:positionV relativeFrom="paragraph">
              <wp:posOffset>-5031105</wp:posOffset>
            </wp:positionV>
            <wp:extent cx="6032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4827905</wp:posOffset>
            </wp:positionH>
            <wp:positionV relativeFrom="paragraph">
              <wp:posOffset>-5048250</wp:posOffset>
            </wp:positionV>
            <wp:extent cx="6032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4827905</wp:posOffset>
            </wp:positionH>
            <wp:positionV relativeFrom="paragraph">
              <wp:posOffset>-5031105</wp:posOffset>
            </wp:positionV>
            <wp:extent cx="6032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5710555</wp:posOffset>
            </wp:positionH>
            <wp:positionV relativeFrom="paragraph">
              <wp:posOffset>-5048250</wp:posOffset>
            </wp:positionV>
            <wp:extent cx="5969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5710555</wp:posOffset>
            </wp:positionH>
            <wp:positionV relativeFrom="paragraph">
              <wp:posOffset>-5031105</wp:posOffset>
            </wp:positionV>
            <wp:extent cx="5969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6533515</wp:posOffset>
            </wp:positionH>
            <wp:positionV relativeFrom="paragraph">
              <wp:posOffset>-5048250</wp:posOffset>
            </wp:positionV>
            <wp:extent cx="6032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6533515</wp:posOffset>
            </wp:positionH>
            <wp:positionV relativeFrom="paragraph">
              <wp:posOffset>-5031105</wp:posOffset>
            </wp:positionV>
            <wp:extent cx="6032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3944620</wp:posOffset>
            </wp:positionH>
            <wp:positionV relativeFrom="paragraph">
              <wp:posOffset>-4191000</wp:posOffset>
            </wp:positionV>
            <wp:extent cx="6032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4827905</wp:posOffset>
            </wp:positionH>
            <wp:positionV relativeFrom="paragraph">
              <wp:posOffset>-4191000</wp:posOffset>
            </wp:positionV>
            <wp:extent cx="6032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5710555</wp:posOffset>
            </wp:positionH>
            <wp:positionV relativeFrom="paragraph">
              <wp:posOffset>-4191000</wp:posOffset>
            </wp:positionV>
            <wp:extent cx="5969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6533515</wp:posOffset>
            </wp:positionH>
            <wp:positionV relativeFrom="paragraph">
              <wp:posOffset>-4191000</wp:posOffset>
            </wp:positionV>
            <wp:extent cx="6032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3773170</wp:posOffset>
            </wp:positionH>
            <wp:positionV relativeFrom="paragraph">
              <wp:posOffset>-1971040</wp:posOffset>
            </wp:positionV>
            <wp:extent cx="6032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4690745</wp:posOffset>
            </wp:positionH>
            <wp:positionV relativeFrom="paragraph">
              <wp:posOffset>-1971040</wp:posOffset>
            </wp:positionV>
            <wp:extent cx="6032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5616575</wp:posOffset>
            </wp:positionH>
            <wp:positionV relativeFrom="paragraph">
              <wp:posOffset>-1971040</wp:posOffset>
            </wp:positionV>
            <wp:extent cx="6032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6533515</wp:posOffset>
            </wp:positionH>
            <wp:positionV relativeFrom="paragraph">
              <wp:posOffset>-1971040</wp:posOffset>
            </wp:positionV>
            <wp:extent cx="6032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3773170</wp:posOffset>
            </wp:positionH>
            <wp:positionV relativeFrom="paragraph">
              <wp:posOffset>-1662430</wp:posOffset>
            </wp:positionV>
            <wp:extent cx="6032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3773170</wp:posOffset>
            </wp:positionH>
            <wp:positionV relativeFrom="paragraph">
              <wp:posOffset>-1645285</wp:posOffset>
            </wp:positionV>
            <wp:extent cx="6032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4690745</wp:posOffset>
            </wp:positionH>
            <wp:positionV relativeFrom="paragraph">
              <wp:posOffset>-1662430</wp:posOffset>
            </wp:positionV>
            <wp:extent cx="6032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4690745</wp:posOffset>
            </wp:positionH>
            <wp:positionV relativeFrom="paragraph">
              <wp:posOffset>-1645285</wp:posOffset>
            </wp:positionV>
            <wp:extent cx="6032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5616575</wp:posOffset>
            </wp:positionH>
            <wp:positionV relativeFrom="paragraph">
              <wp:posOffset>-1662430</wp:posOffset>
            </wp:positionV>
            <wp:extent cx="6032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5616575</wp:posOffset>
            </wp:positionH>
            <wp:positionV relativeFrom="paragraph">
              <wp:posOffset>-1645285</wp:posOffset>
            </wp:positionV>
            <wp:extent cx="6032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6533515</wp:posOffset>
            </wp:positionH>
            <wp:positionV relativeFrom="paragraph">
              <wp:posOffset>-1662430</wp:posOffset>
            </wp:positionV>
            <wp:extent cx="6032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6533515</wp:posOffset>
            </wp:positionH>
            <wp:positionV relativeFrom="paragraph">
              <wp:posOffset>-1645285</wp:posOffset>
            </wp:positionV>
            <wp:extent cx="6032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3773170</wp:posOffset>
            </wp:positionH>
            <wp:positionV relativeFrom="paragraph">
              <wp:posOffset>-1208405</wp:posOffset>
            </wp:positionV>
            <wp:extent cx="6032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4690745</wp:posOffset>
            </wp:positionH>
            <wp:positionV relativeFrom="paragraph">
              <wp:posOffset>-1208405</wp:posOffset>
            </wp:positionV>
            <wp:extent cx="6032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5616575</wp:posOffset>
            </wp:positionH>
            <wp:positionV relativeFrom="paragraph">
              <wp:posOffset>-1208405</wp:posOffset>
            </wp:positionV>
            <wp:extent cx="6032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6533515</wp:posOffset>
            </wp:positionH>
            <wp:positionV relativeFrom="paragraph">
              <wp:posOffset>-1208405</wp:posOffset>
            </wp:positionV>
            <wp:extent cx="6032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3773170</wp:posOffset>
            </wp:positionH>
            <wp:positionV relativeFrom="paragraph">
              <wp:posOffset>-916305</wp:posOffset>
            </wp:positionV>
            <wp:extent cx="6032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4690745</wp:posOffset>
            </wp:positionH>
            <wp:positionV relativeFrom="paragraph">
              <wp:posOffset>-916305</wp:posOffset>
            </wp:positionV>
            <wp:extent cx="6032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5616575</wp:posOffset>
            </wp:positionH>
            <wp:positionV relativeFrom="paragraph">
              <wp:posOffset>-916305</wp:posOffset>
            </wp:positionV>
            <wp:extent cx="6032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6533515</wp:posOffset>
            </wp:positionH>
            <wp:positionV relativeFrom="paragraph">
              <wp:posOffset>-916305</wp:posOffset>
            </wp:positionV>
            <wp:extent cx="6032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ectPr>
          <w:pgSz w:w="11900" w:h="16838" w:orient="portrait"/>
          <w:cols w:equalWidth="0" w:num="1">
            <w:col w:w="11040"/>
          </w:cols>
          <w:pgMar w:left="420" w:top="981" w:right="439" w:bottom="1440" w:gutter="0" w:footer="0" w:header="0"/>
        </w:sectPr>
      </w:pPr>
    </w:p>
    <w:bookmarkStart w:id="8" w:name="page9"/>
    <w:bookmarkEnd w:id="8"/>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MASTECH DIGITAL, INC.</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SUPPLEMENTAL FINANCIAL INFORMATION</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(Amounts in thousands)</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(Unaudited)</w:t>
      </w:r>
    </w:p>
    <w:p>
      <w:pPr>
        <w:spacing w:after="0" w:line="203" w:lineRule="exact"/>
        <w:rPr>
          <w:sz w:val="20"/>
          <w:szCs w:val="20"/>
          <w:color w:val="auto"/>
        </w:rPr>
      </w:pPr>
    </w:p>
    <w:tbl>
      <w:tblPr>
        <w:tblLayout w:type="fixed"/>
        <w:tblInd w:w="440" w:type="dxa"/>
        <w:tblCellMar>
          <w:top w:w="0" w:type="dxa"/>
          <w:left w:w="0" w:type="dxa"/>
          <w:bottom w:w="0" w:type="dxa"/>
          <w:right w:w="0" w:type="dxa"/>
        </w:tblCellMar>
      </w:tblPr>
      <w:tr>
        <w:trPr>
          <w:trHeight w:val="216"/>
        </w:trPr>
        <w:tc>
          <w:tcPr>
            <w:tcW w:w="2960" w:type="dxa"/>
            <w:vAlign w:val="bottom"/>
          </w:tcPr>
          <w:p>
            <w:pPr>
              <w:spacing w:after="0"/>
              <w:rPr>
                <w:sz w:val="18"/>
                <w:szCs w:val="18"/>
                <w:color w:val="auto"/>
              </w:rPr>
            </w:pPr>
          </w:p>
        </w:tc>
        <w:tc>
          <w:tcPr>
            <w:tcW w:w="29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September</w:t>
            </w:r>
          </w:p>
        </w:tc>
        <w:tc>
          <w:tcPr>
            <w:tcW w:w="2760" w:type="dxa"/>
            <w:vAlign w:val="bottom"/>
            <w:gridSpan w:val="6"/>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Nine Months ended September</w:t>
            </w:r>
          </w:p>
        </w:tc>
      </w:tr>
      <w:tr>
        <w:trPr>
          <w:trHeight w:val="238"/>
        </w:trPr>
        <w:tc>
          <w:tcPr>
            <w:tcW w:w="29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30,</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30,</w:t>
            </w: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r>
      <w:tr>
        <w:trPr>
          <w:trHeight w:val="209"/>
        </w:trPr>
        <w:tc>
          <w:tcPr>
            <w:tcW w:w="29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4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Pr>
          <w:p>
            <w:pPr>
              <w:spacing w:after="0"/>
              <w:rPr>
                <w:sz w:val="18"/>
                <w:szCs w:val="18"/>
                <w:color w:val="auto"/>
              </w:rPr>
            </w:pPr>
          </w:p>
        </w:tc>
      </w:tr>
      <w:tr>
        <w:trPr>
          <w:trHeight w:val="209"/>
        </w:trPr>
        <w:tc>
          <w:tcPr>
            <w:tcW w:w="2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r>
      <w:tr>
        <w:trPr>
          <w:trHeight w:val="216"/>
        </w:trPr>
        <w:tc>
          <w:tcPr>
            <w:tcW w:w="2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Data &amp; AI</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14,122</w:t>
            </w:r>
          </w:p>
        </w:tc>
        <w:tc>
          <w:tcPr>
            <w:tcW w:w="34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15,160</w:t>
            </w:r>
          </w:p>
        </w:tc>
        <w:tc>
          <w:tcPr>
            <w:tcW w:w="34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40,190</w:t>
            </w:r>
          </w:p>
        </w:tc>
        <w:tc>
          <w:tcPr>
            <w:tcW w:w="420" w:type="dxa"/>
            <w:vAlign w:val="bottom"/>
          </w:tcPr>
          <w:p>
            <w:pPr>
              <w:spacing w:after="0"/>
              <w:rPr>
                <w:sz w:val="18"/>
                <w:szCs w:val="18"/>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46,894</w:t>
            </w:r>
          </w:p>
        </w:tc>
        <w:tc>
          <w:tcPr>
            <w:tcW w:w="200" w:type="dxa"/>
            <w:vAlign w:val="bottom"/>
          </w:tcPr>
          <w:p>
            <w:pPr>
              <w:spacing w:after="0"/>
              <w:rPr>
                <w:sz w:val="18"/>
                <w:szCs w:val="18"/>
                <w:color w:val="auto"/>
              </w:rPr>
            </w:pPr>
          </w:p>
        </w:tc>
      </w:tr>
      <w:tr>
        <w:trPr>
          <w:trHeight w:val="216"/>
        </w:trPr>
        <w:tc>
          <w:tcPr>
            <w:tcW w:w="296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Talent</w:t>
            </w:r>
          </w:p>
        </w:tc>
        <w:tc>
          <w:tcPr>
            <w:tcW w:w="2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27,865</w:t>
            </w:r>
          </w:p>
        </w:tc>
        <w:tc>
          <w:tcPr>
            <w:tcW w:w="3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33,336</w:t>
            </w:r>
          </w:p>
        </w:tc>
        <w:tc>
          <w:tcPr>
            <w:tcW w:w="3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84,327</w:t>
            </w:r>
          </w:p>
        </w:tc>
        <w:tc>
          <w:tcPr>
            <w:tcW w:w="4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99,016</w:t>
            </w:r>
          </w:p>
        </w:tc>
        <w:tc>
          <w:tcPr>
            <w:tcW w:w="200" w:type="dxa"/>
            <w:vAlign w:val="bottom"/>
            <w:tcBorders>
              <w:bottom w:val="single" w:sz="8" w:color="CFF0FC"/>
            </w:tcBorders>
            <w:shd w:val="clear" w:color="auto" w:fill="CFF0FC"/>
          </w:tcPr>
          <w:p>
            <w:pPr>
              <w:spacing w:after="0"/>
              <w:rPr>
                <w:sz w:val="18"/>
                <w:szCs w:val="18"/>
                <w:color w:val="auto"/>
              </w:rPr>
            </w:pPr>
          </w:p>
        </w:tc>
      </w:tr>
      <w:tr>
        <w:trPr>
          <w:trHeight w:val="230"/>
        </w:trPr>
        <w:tc>
          <w:tcPr>
            <w:tcW w:w="296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41,987</w:t>
            </w:r>
          </w:p>
        </w:tc>
        <w:tc>
          <w:tcPr>
            <w:tcW w:w="340" w:type="dxa"/>
            <w:vAlign w:val="bottom"/>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48,496</w:t>
            </w:r>
          </w:p>
        </w:tc>
        <w:tc>
          <w:tcPr>
            <w:tcW w:w="34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124,517</w:t>
            </w:r>
          </w:p>
        </w:tc>
        <w:tc>
          <w:tcPr>
            <w:tcW w:w="420" w:type="dxa"/>
            <w:vAlign w:val="bottom"/>
          </w:tcPr>
          <w:p>
            <w:pPr>
              <w:spacing w:after="0"/>
              <w:rPr>
                <w:sz w:val="20"/>
                <w:szCs w:val="20"/>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145,910</w:t>
            </w:r>
          </w:p>
        </w:tc>
        <w:tc>
          <w:tcPr>
            <w:tcW w:w="200" w:type="dxa"/>
            <w:vAlign w:val="bottom"/>
          </w:tcPr>
          <w:p>
            <w:pPr>
              <w:spacing w:after="0"/>
              <w:rPr>
                <w:sz w:val="20"/>
                <w:szCs w:val="20"/>
                <w:color w:val="auto"/>
              </w:rPr>
            </w:pPr>
          </w:p>
        </w:tc>
      </w:tr>
      <w:tr>
        <w:trPr>
          <w:trHeight w:val="216"/>
        </w:trPr>
        <w:tc>
          <w:tcPr>
            <w:tcW w:w="2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Gross Margin %:</w:t>
            </w: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r>
      <w:tr>
        <w:trPr>
          <w:trHeight w:val="216"/>
        </w:trPr>
        <w:tc>
          <w:tcPr>
            <w:tcW w:w="2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Data &amp; AI</w:t>
            </w:r>
          </w:p>
        </w:tc>
        <w:tc>
          <w:tcPr>
            <w:tcW w:w="24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40.5%</w:t>
            </w:r>
          </w:p>
        </w:tc>
        <w:tc>
          <w:tcPr>
            <w:tcW w:w="24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40.0%</w:t>
            </w:r>
          </w:p>
        </w:tc>
        <w:tc>
          <w:tcPr>
            <w:tcW w:w="22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39.4%</w:t>
            </w:r>
          </w:p>
        </w:tc>
        <w:tc>
          <w:tcPr>
            <w:tcW w:w="22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38.9%</w:t>
            </w:r>
          </w:p>
        </w:tc>
      </w:tr>
      <w:tr>
        <w:trPr>
          <w:trHeight w:val="216"/>
        </w:trPr>
        <w:tc>
          <w:tcPr>
            <w:tcW w:w="29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Talent</w:t>
            </w:r>
          </w:p>
        </w:tc>
        <w:tc>
          <w:tcPr>
            <w:tcW w:w="2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23.1%</w:t>
            </w:r>
          </w:p>
        </w:tc>
        <w:tc>
          <w:tcPr>
            <w:tcW w:w="2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23.0%</w:t>
            </w:r>
          </w:p>
        </w:tc>
        <w:tc>
          <w:tcPr>
            <w:tcW w:w="2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22.9%</w:t>
            </w:r>
          </w:p>
        </w:tc>
        <w:tc>
          <w:tcPr>
            <w:tcW w:w="2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22.4%</w:t>
            </w:r>
          </w:p>
        </w:tc>
      </w:tr>
      <w:tr>
        <w:trPr>
          <w:trHeight w:val="20"/>
        </w:trPr>
        <w:tc>
          <w:tcPr>
            <w:tcW w:w="29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r>
      <w:tr>
        <w:trPr>
          <w:trHeight w:val="210"/>
        </w:trPr>
        <w:tc>
          <w:tcPr>
            <w:tcW w:w="2960" w:type="dxa"/>
            <w:vAlign w:val="bottom"/>
          </w:tcPr>
          <w:p>
            <w:pPr>
              <w:ind w:left="260"/>
              <w:spacing w:after="0" w:line="210" w:lineRule="exact"/>
              <w:rPr>
                <w:sz w:val="20"/>
                <w:szCs w:val="20"/>
                <w:color w:val="auto"/>
              </w:rPr>
            </w:pPr>
            <w:r>
              <w:rPr>
                <w:rFonts w:ascii="Times New Roman" w:cs="Times New Roman" w:eastAsia="Times New Roman" w:hAnsi="Times New Roman"/>
                <w:sz w:val="18"/>
                <w:szCs w:val="18"/>
                <w:b w:val="1"/>
                <w:bCs w:val="1"/>
                <w:color w:val="auto"/>
              </w:rPr>
              <w:t>Total gross margin %</w:t>
            </w:r>
            <w:r>
              <w:rPr>
                <w:rFonts w:ascii="Times New Roman" w:cs="Times New Roman" w:eastAsia="Times New Roman" w:hAnsi="Times New Roman"/>
                <w:sz w:val="24"/>
                <w:szCs w:val="24"/>
                <w:b w:val="1"/>
                <w:bCs w:val="1"/>
                <w:color w:val="auto"/>
                <w:vertAlign w:val="superscript"/>
              </w:rPr>
              <w:t>(1)</w:t>
            </w:r>
          </w:p>
        </w:tc>
        <w:tc>
          <w:tcPr>
            <w:tcW w:w="2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29.0%</w:t>
            </w:r>
          </w:p>
        </w:tc>
        <w:tc>
          <w:tcPr>
            <w:tcW w:w="2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28.3%</w:t>
            </w:r>
          </w:p>
        </w:tc>
        <w:tc>
          <w:tcPr>
            <w:tcW w:w="22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28.3%</w:t>
            </w:r>
          </w:p>
        </w:tc>
        <w:tc>
          <w:tcPr>
            <w:tcW w:w="22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27.7%</w:t>
            </w:r>
          </w:p>
        </w:tc>
      </w:tr>
      <w:tr>
        <w:trPr>
          <w:trHeight w:val="20"/>
        </w:trPr>
        <w:tc>
          <w:tcPr>
            <w:tcW w:w="29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6"/>
        </w:trPr>
        <w:tc>
          <w:tcPr>
            <w:tcW w:w="296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Segment Operating Income (Loss):</w:t>
            </w: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r>
      <w:tr>
        <w:trPr>
          <w:trHeight w:val="216"/>
        </w:trPr>
        <w:tc>
          <w:tcPr>
            <w:tcW w:w="2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Data &amp; AI</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34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1,637</w:t>
            </w:r>
          </w:p>
        </w:tc>
        <w:tc>
          <w:tcPr>
            <w:tcW w:w="34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(779)</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2,866</w:t>
            </w:r>
          </w:p>
        </w:tc>
        <w:tc>
          <w:tcPr>
            <w:tcW w:w="200" w:type="dxa"/>
            <w:vAlign w:val="bottom"/>
          </w:tcPr>
          <w:p>
            <w:pPr>
              <w:spacing w:after="0"/>
              <w:rPr>
                <w:sz w:val="18"/>
                <w:szCs w:val="18"/>
                <w:color w:val="auto"/>
              </w:rPr>
            </w:pPr>
          </w:p>
        </w:tc>
      </w:tr>
      <w:tr>
        <w:trPr>
          <w:trHeight w:val="216"/>
        </w:trPr>
        <w:tc>
          <w:tcPr>
            <w:tcW w:w="296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Talent</w:t>
            </w:r>
          </w:p>
        </w:tc>
        <w:tc>
          <w:tcPr>
            <w:tcW w:w="2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3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1,854</w:t>
            </w:r>
          </w:p>
        </w:tc>
        <w:tc>
          <w:tcPr>
            <w:tcW w:w="3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2,478</w:t>
            </w:r>
          </w:p>
        </w:tc>
        <w:tc>
          <w:tcPr>
            <w:tcW w:w="4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2,427</w:t>
            </w:r>
          </w:p>
        </w:tc>
        <w:tc>
          <w:tcPr>
            <w:tcW w:w="200" w:type="dxa"/>
            <w:vAlign w:val="bottom"/>
            <w:tcBorders>
              <w:bottom w:val="single" w:sz="8" w:color="CFF0FC"/>
            </w:tcBorders>
            <w:shd w:val="clear" w:color="auto" w:fill="CFF0FC"/>
          </w:tcPr>
          <w:p>
            <w:pPr>
              <w:spacing w:after="0"/>
              <w:rPr>
                <w:sz w:val="18"/>
                <w:szCs w:val="18"/>
                <w:color w:val="auto"/>
              </w:rPr>
            </w:pPr>
          </w:p>
        </w:tc>
      </w:tr>
      <w:tr>
        <w:trPr>
          <w:trHeight w:val="209"/>
        </w:trPr>
        <w:tc>
          <w:tcPr>
            <w:tcW w:w="29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Subtotal</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3,491</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1,699</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5,293</w:t>
            </w:r>
          </w:p>
        </w:tc>
        <w:tc>
          <w:tcPr>
            <w:tcW w:w="200" w:type="dxa"/>
            <w:vAlign w:val="bottom"/>
          </w:tcPr>
          <w:p>
            <w:pPr>
              <w:spacing w:after="0"/>
              <w:rPr>
                <w:sz w:val="18"/>
                <w:szCs w:val="18"/>
                <w:color w:val="auto"/>
              </w:rPr>
            </w:pPr>
          </w:p>
        </w:tc>
      </w:tr>
      <w:tr>
        <w:trPr>
          <w:trHeight w:val="198"/>
        </w:trPr>
        <w:tc>
          <w:tcPr>
            <w:tcW w:w="296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Amortization of acquired intangible</w:t>
            </w: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r>
      <w:tr>
        <w:trPr>
          <w:trHeight w:val="234"/>
        </w:trPr>
        <w:tc>
          <w:tcPr>
            <w:tcW w:w="2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24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(604)</w:t>
            </w:r>
          </w:p>
        </w:tc>
        <w:tc>
          <w:tcPr>
            <w:tcW w:w="24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(650)</w:t>
            </w:r>
          </w:p>
        </w:tc>
        <w:tc>
          <w:tcPr>
            <w:tcW w:w="22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(1,811)</w:t>
            </w:r>
          </w:p>
        </w:tc>
        <w:tc>
          <w:tcPr>
            <w:tcW w:w="22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(1,949)</w:t>
            </w: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Severance expense</w:t>
            </w:r>
          </w:p>
        </w:tc>
        <w:tc>
          <w:tcPr>
            <w:tcW w:w="24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(150)</w:t>
            </w:r>
          </w:p>
        </w:tc>
        <w:tc>
          <w:tcPr>
            <w:tcW w:w="24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(1,084)</w:t>
            </w:r>
          </w:p>
        </w:tc>
        <w:tc>
          <w:tcPr>
            <w:tcW w:w="22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(150)</w:t>
            </w:r>
          </w:p>
        </w:tc>
        <w:tc>
          <w:tcPr>
            <w:tcW w:w="22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(2,725)</w:t>
            </w:r>
          </w:p>
        </w:tc>
      </w:tr>
      <w:tr>
        <w:trPr>
          <w:trHeight w:val="198"/>
        </w:trPr>
        <w:tc>
          <w:tcPr>
            <w:tcW w:w="296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Finance and accounting transition</w:t>
            </w: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r>
      <w:tr>
        <w:trPr>
          <w:trHeight w:val="234"/>
        </w:trPr>
        <w:tc>
          <w:tcPr>
            <w:tcW w:w="2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expense</w:t>
            </w:r>
          </w:p>
        </w:tc>
        <w:tc>
          <w:tcPr>
            <w:tcW w:w="24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(937)</w:t>
            </w:r>
          </w:p>
        </w:tc>
        <w:tc>
          <w:tcPr>
            <w:tcW w:w="22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(1,625)</w:t>
            </w: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 and other, net</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3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3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1,167</w:t>
            </w:r>
          </w:p>
        </w:tc>
        <w:tc>
          <w:tcPr>
            <w:tcW w:w="4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200" w:type="dxa"/>
            <w:vAlign w:val="bottom"/>
          </w:tcPr>
          <w:p>
            <w:pPr>
              <w:spacing w:after="0"/>
              <w:rPr>
                <w:sz w:val="18"/>
                <w:szCs w:val="18"/>
                <w:color w:val="auto"/>
              </w:rPr>
            </w:pPr>
          </w:p>
        </w:tc>
      </w:tr>
      <w:tr>
        <w:trPr>
          <w:trHeight w:val="230"/>
        </w:trPr>
        <w:tc>
          <w:tcPr>
            <w:tcW w:w="29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2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250</w:t>
            </w:r>
          </w:p>
        </w:tc>
        <w:tc>
          <w:tcPr>
            <w:tcW w:w="3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1,235</w:t>
            </w:r>
          </w:p>
        </w:tc>
        <w:tc>
          <w:tcPr>
            <w:tcW w:w="3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905</w:t>
            </w:r>
          </w:p>
        </w:tc>
        <w:tc>
          <w:tcPr>
            <w:tcW w:w="4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(317)</w:t>
            </w:r>
          </w:p>
        </w:tc>
        <w:tc>
          <w:tcPr>
            <w:tcW w:w="2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2865755</wp:posOffset>
            </wp:positionH>
            <wp:positionV relativeFrom="paragraph">
              <wp:posOffset>-2305050</wp:posOffset>
            </wp:positionV>
            <wp:extent cx="12890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-2305050</wp:posOffset>
            </wp:positionV>
            <wp:extent cx="12890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4665980</wp:posOffset>
            </wp:positionH>
            <wp:positionV relativeFrom="paragraph">
              <wp:posOffset>-2305050</wp:posOffset>
            </wp:positionV>
            <wp:extent cx="12890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5634355</wp:posOffset>
            </wp:positionH>
            <wp:positionV relativeFrom="paragraph">
              <wp:posOffset>-2305050</wp:posOffset>
            </wp:positionV>
            <wp:extent cx="12890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2865755</wp:posOffset>
            </wp:positionH>
            <wp:positionV relativeFrom="paragraph">
              <wp:posOffset>-1722120</wp:posOffset>
            </wp:positionV>
            <wp:extent cx="12890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-1722120</wp:posOffset>
            </wp:positionV>
            <wp:extent cx="12890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4665980</wp:posOffset>
            </wp:positionH>
            <wp:positionV relativeFrom="paragraph">
              <wp:posOffset>-1722120</wp:posOffset>
            </wp:positionV>
            <wp:extent cx="12890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5634355</wp:posOffset>
            </wp:positionH>
            <wp:positionV relativeFrom="paragraph">
              <wp:posOffset>-1722120</wp:posOffset>
            </wp:positionV>
            <wp:extent cx="12890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2865755</wp:posOffset>
            </wp:positionH>
            <wp:positionV relativeFrom="paragraph">
              <wp:posOffset>-1139190</wp:posOffset>
            </wp:positionV>
            <wp:extent cx="12890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-1139190</wp:posOffset>
            </wp:positionV>
            <wp:extent cx="12890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4665980</wp:posOffset>
            </wp:positionH>
            <wp:positionV relativeFrom="paragraph">
              <wp:posOffset>-1139190</wp:posOffset>
            </wp:positionV>
            <wp:extent cx="12890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5634355</wp:posOffset>
            </wp:positionH>
            <wp:positionV relativeFrom="paragraph">
              <wp:posOffset>-1139190</wp:posOffset>
            </wp:positionV>
            <wp:extent cx="12890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2865755</wp:posOffset>
            </wp:positionH>
            <wp:positionV relativeFrom="paragraph">
              <wp:posOffset>-24765</wp:posOffset>
            </wp:positionV>
            <wp:extent cx="128905"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8905" cy="2540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-24765</wp:posOffset>
            </wp:positionV>
            <wp:extent cx="128905"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8905" cy="25400"/>
                    </a:xfrm>
                    <a:prstGeom prst="rect">
                      <a:avLst/>
                    </a:prstGeom>
                    <a:noFill/>
                  </pic:spPr>
                </pic:pic>
              </a:graphicData>
            </a:graphic>
          </wp:anchor>
        </w:drawing>
        <w:drawing>
          <wp:anchor simplePos="0" relativeHeight="251657728" behindDoc="1" locked="0" layoutInCell="0" allowOverlap="1">
            <wp:simplePos x="0" y="0"/>
            <wp:positionH relativeFrom="column">
              <wp:posOffset>4665980</wp:posOffset>
            </wp:positionH>
            <wp:positionV relativeFrom="paragraph">
              <wp:posOffset>-24765</wp:posOffset>
            </wp:positionV>
            <wp:extent cx="128905"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8905" cy="25400"/>
                    </a:xfrm>
                    <a:prstGeom prst="rect">
                      <a:avLst/>
                    </a:prstGeom>
                    <a:noFill/>
                  </pic:spPr>
                </pic:pic>
              </a:graphicData>
            </a:graphic>
          </wp:anchor>
        </w:drawing>
        <w:drawing>
          <wp:anchor simplePos="0" relativeHeight="251657728" behindDoc="1" locked="0" layoutInCell="0" allowOverlap="1">
            <wp:simplePos x="0" y="0"/>
            <wp:positionH relativeFrom="column">
              <wp:posOffset>5634355</wp:posOffset>
            </wp:positionH>
            <wp:positionV relativeFrom="paragraph">
              <wp:posOffset>-24765</wp:posOffset>
            </wp:positionV>
            <wp:extent cx="128905"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8905" cy="25400"/>
                    </a:xfrm>
                    <a:prstGeom prst="rect">
                      <a:avLst/>
                    </a:prstGeom>
                    <a:noFill/>
                  </pic:spPr>
                </pic:pic>
              </a:graphicData>
            </a:graphic>
          </wp:anchor>
        </w:drawing>
      </w:r>
    </w:p>
    <w:p>
      <w:pPr>
        <w:spacing w:after="0" w:line="177" w:lineRule="exact"/>
        <w:rPr>
          <w:sz w:val="20"/>
          <w:szCs w:val="20"/>
          <w:color w:val="auto"/>
        </w:rPr>
      </w:pPr>
    </w:p>
    <w:p>
      <w:pPr>
        <w:ind w:left="440" w:right="179" w:hanging="4"/>
        <w:spacing w:after="0" w:line="228" w:lineRule="auto"/>
        <w:tabs>
          <w:tab w:leader="none" w:pos="637" w:val="left"/>
        </w:tabs>
        <w:numPr>
          <w:ilvl w:val="0"/>
          <w:numId w:val="3"/>
        </w:numPr>
        <w:rPr>
          <w:rFonts w:ascii="Arial" w:cs="Arial" w:eastAsia="Arial" w:hAnsi="Arial"/>
          <w:sz w:val="24"/>
          <w:szCs w:val="24"/>
          <w:color w:val="auto"/>
          <w:vertAlign w:val="superscript"/>
        </w:rPr>
      </w:pPr>
      <w:r>
        <w:rPr>
          <w:rFonts w:ascii="Arial" w:cs="Arial" w:eastAsia="Arial" w:hAnsi="Arial"/>
          <w:sz w:val="18"/>
          <w:szCs w:val="18"/>
          <w:color w:val="auto"/>
        </w:rPr>
        <w:t>Gross margin difference between the supplemental segment and consolidated results primarily reflects non-allocated severance expense of $0.1 million and $0.3 million recorded in cost of goods sold during the third quarter of 2026 and 2025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Investor Relations Contact:</w:t>
      </w:r>
    </w:p>
    <w:p>
      <w:pPr>
        <w:spacing w:after="0" w:line="196"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FF"/>
        </w:rPr>
        <w:t>Investors@mastechdigital.com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613410</wp:posOffset>
            </wp:positionV>
            <wp:extent cx="703770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379"/>
          </w:cols>
          <w:pgMar w:left="1080" w:top="981" w:right="1440" w:bottom="1440" w:gutter="0" w:footer="0" w:header="0"/>
        </w:sectPr>
      </w:pPr>
    </w:p>
    <w:bookmarkStart w:id="9" w:name="page10"/>
    <w:bookmarkEnd w:id="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2026-10-30T07:46:24Z</dcterms:created>
  <dcterms:modified xsi:type="dcterms:W3CDTF">2026-10-30T07:46:24Z</dcterms:modified>
</cp:coreProperties>
</file>